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30D33" w14:textId="3EF8597B" w:rsidR="007612F6" w:rsidRPr="002555D7" w:rsidRDefault="00357570" w:rsidP="0095103F">
      <w:pPr>
        <w:jc w:val="right"/>
      </w:pPr>
      <w:r>
        <w:rPr>
          <w:noProof/>
        </w:rPr>
        <mc:AlternateContent>
          <mc:Choice Requires="wps">
            <w:drawing>
              <wp:inline distT="0" distB="0" distL="0" distR="0" wp14:anchorId="588DA89C" wp14:editId="11D31A2F">
                <wp:extent cx="2360930" cy="1285875"/>
                <wp:effectExtent l="0" t="0" r="1270" b="95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5875"/>
                        </a:xfrm>
                        <a:prstGeom prst="rect">
                          <a:avLst/>
                        </a:prstGeom>
                        <a:solidFill>
                          <a:srgbClr val="FFFFFF"/>
                        </a:solidFill>
                        <a:ln w="9525">
                          <a:noFill/>
                          <a:miter lim="800000"/>
                          <a:headEnd/>
                          <a:tailEnd/>
                        </a:ln>
                      </wps:spPr>
                      <wps:txbx>
                        <w:txbxContent>
                          <w:p w14:paraId="551D0834" w14:textId="221605A6" w:rsidR="00357570" w:rsidRDefault="00357570">
                            <w:r>
                              <w:rPr>
                                <w:noProof/>
                              </w:rPr>
                              <w:drawing>
                                <wp:inline distT="0" distB="0" distL="0" distR="0" wp14:anchorId="41E3641B" wp14:editId="350E60A4">
                                  <wp:extent cx="2087880" cy="1268730"/>
                                  <wp:effectExtent l="0" t="0" r="7620" b="7620"/>
                                  <wp:docPr id="2" name="Picture 2" descr="East Sussex County Council's Outdoor Educ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s Outdoor Education service logo"/>
                                          <pic:cNvPicPr/>
                                        </pic:nvPicPr>
                                        <pic:blipFill>
                                          <a:blip r:embed="rId14">
                                            <a:extLst>
                                              <a:ext uri="{28A0092B-C50C-407E-A947-70E740481C1C}">
                                                <a14:useLocalDpi xmlns:a14="http://schemas.microsoft.com/office/drawing/2010/main" val="0"/>
                                              </a:ext>
                                            </a:extLst>
                                          </a:blip>
                                          <a:stretch>
                                            <a:fillRect/>
                                          </a:stretch>
                                        </pic:blipFill>
                                        <pic:spPr>
                                          <a:xfrm>
                                            <a:off x="0" y="0"/>
                                            <a:ext cx="2087880" cy="1268730"/>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588DA89C" id="_x0000_t202" coordsize="21600,21600" o:spt="202" path="m,l,21600r21600,l21600,xe">
                <v:stroke joinstyle="miter"/>
                <v:path gradientshapeok="t" o:connecttype="rect"/>
              </v:shapetype>
              <v:shape id="Text Box 2" o:spid="_x0000_s1026" type="#_x0000_t202" style="width:185.9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DkDg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" stroked="f">
                <v:textbox>
                  <w:txbxContent>
                    <w:p w14:paraId="551D0834" w14:textId="221605A6" w:rsidR="00357570" w:rsidRDefault="00357570">
                      <w:r>
                        <w:rPr>
                          <w:noProof/>
                        </w:rPr>
                        <w:drawing>
                          <wp:inline distT="0" distB="0" distL="0" distR="0" wp14:anchorId="41E3641B" wp14:editId="350E60A4">
                            <wp:extent cx="2087880" cy="1268730"/>
                            <wp:effectExtent l="0" t="0" r="7620" b="7620"/>
                            <wp:docPr id="2" name="Picture 2" descr="East Sussex County Council's Outdoor Educ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ast Sussex County Council's Outdoor Education service logo"/>
                                    <pic:cNvPicPr/>
                                  </pic:nvPicPr>
                                  <pic:blipFill>
                                    <a:blip r:embed="rId15">
                                      <a:extLst>
                                        <a:ext uri="{28A0092B-C50C-407E-A947-70E740481C1C}">
                                          <a14:useLocalDpi xmlns:a14="http://schemas.microsoft.com/office/drawing/2010/main" val="0"/>
                                        </a:ext>
                                      </a:extLst>
                                    </a:blip>
                                    <a:stretch>
                                      <a:fillRect/>
                                    </a:stretch>
                                  </pic:blipFill>
                                  <pic:spPr>
                                    <a:xfrm>
                                      <a:off x="0" y="0"/>
                                      <a:ext cx="2087880" cy="1268730"/>
                                    </a:xfrm>
                                    <a:prstGeom prst="rect">
                                      <a:avLst/>
                                    </a:prstGeom>
                                  </pic:spPr>
                                </pic:pic>
                              </a:graphicData>
                            </a:graphic>
                          </wp:inline>
                        </w:drawing>
                      </w:r>
                    </w:p>
                  </w:txbxContent>
                </v:textbox>
                <w10:anchorlock/>
              </v:shape>
            </w:pict>
          </mc:Fallback>
        </mc:AlternateContent>
      </w:r>
      <w:r w:rsidR="007612F6" w:rsidRPr="002555D7">
        <w:rPr>
          <w:noProof/>
        </w:rPr>
        <w:drawing>
          <wp:inline distT="0" distB="0" distL="0" distR="0" wp14:anchorId="1F870C4D" wp14:editId="1AEF9FBF">
            <wp:extent cx="1524625" cy="1103538"/>
            <wp:effectExtent l="0" t="0" r="0" b="190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24625" cy="1103538"/>
                    </a:xfrm>
                    <a:prstGeom prst="rect">
                      <a:avLst/>
                    </a:prstGeom>
                    <a:noFill/>
                    <a:ln>
                      <a:noFill/>
                    </a:ln>
                  </pic:spPr>
                </pic:pic>
              </a:graphicData>
            </a:graphic>
          </wp:inline>
        </w:drawing>
      </w:r>
    </w:p>
    <w:p w14:paraId="03601719" w14:textId="77777777" w:rsidR="006519AF" w:rsidRDefault="006519AF" w:rsidP="003E749D">
      <w:pPr>
        <w:pStyle w:val="Subtitle"/>
        <w:rPr>
          <w:rFonts w:eastAsia="Times New Roman" w:cs="Times New Roman"/>
          <w:spacing w:val="0"/>
          <w:sz w:val="56"/>
        </w:rPr>
      </w:pPr>
    </w:p>
    <w:p w14:paraId="2DC589F5" w14:textId="6AA03AAA" w:rsidR="008320B0" w:rsidRPr="006519AF" w:rsidRDefault="006519AF" w:rsidP="006519AF">
      <w:pPr>
        <w:pStyle w:val="Subtitle"/>
      </w:pPr>
      <w:r w:rsidRPr="006519AF">
        <w:rPr>
          <w:rFonts w:eastAsia="Times New Roman" w:cs="Times New Roman"/>
          <w:spacing w:val="0"/>
          <w:sz w:val="56"/>
        </w:rPr>
        <w:t>Emotional</w:t>
      </w:r>
      <w:r w:rsidR="00841757">
        <w:rPr>
          <w:rFonts w:eastAsia="Times New Roman" w:cs="Times New Roman"/>
          <w:spacing w:val="0"/>
          <w:sz w:val="56"/>
        </w:rPr>
        <w:t xml:space="preserve"> </w:t>
      </w:r>
      <w:r w:rsidRPr="006519AF">
        <w:rPr>
          <w:rFonts w:eastAsia="Times New Roman" w:cs="Times New Roman"/>
          <w:spacing w:val="0"/>
          <w:sz w:val="56"/>
        </w:rPr>
        <w:t>Wellbeing and Mental Health Guidance for Safe Inclusion on School Trips</w:t>
      </w:r>
      <w:r>
        <w:rPr>
          <w:rFonts w:eastAsia="Times New Roman" w:cs="Times New Roman"/>
          <w:spacing w:val="0"/>
          <w:sz w:val="56"/>
        </w:rPr>
        <w:br/>
      </w:r>
    </w:p>
    <w:p w14:paraId="0E4A4D61" w14:textId="2E6B4910" w:rsidR="008320B0" w:rsidRPr="0006270C" w:rsidRDefault="006519AF" w:rsidP="008320B0">
      <w:pPr>
        <w:contextualSpacing/>
        <w:rPr>
          <w:sz w:val="28"/>
          <w:szCs w:val="28"/>
        </w:rPr>
      </w:pPr>
      <w:r>
        <w:rPr>
          <w:sz w:val="28"/>
          <w:szCs w:val="28"/>
        </w:rPr>
        <w:t>August 2023</w:t>
      </w:r>
    </w:p>
    <w:p w14:paraId="53873FC1" w14:textId="7351D9F3" w:rsidR="003E749D" w:rsidRPr="008320B0" w:rsidRDefault="00823A74" w:rsidP="003E749D">
      <w:pPr>
        <w:contextualSpacing/>
        <w:rPr>
          <w:szCs w:val="28"/>
        </w:rPr>
      </w:pPr>
      <w:r w:rsidRPr="002555D7">
        <w:rPr>
          <w:noProof/>
        </w:rPr>
        <w:drawing>
          <wp:anchor distT="0" distB="0" distL="114300" distR="114300" simplePos="0" relativeHeight="251658240" behindDoc="0" locked="0" layoutInCell="1" allowOverlap="1" wp14:anchorId="75D01795" wp14:editId="4B25ADFB">
            <wp:simplePos x="0" y="0"/>
            <wp:positionH relativeFrom="page">
              <wp:posOffset>51435</wp:posOffset>
            </wp:positionH>
            <wp:positionV relativeFrom="page">
              <wp:posOffset>6978015</wp:posOffset>
            </wp:positionV>
            <wp:extent cx="7531100" cy="368046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31100" cy="3680460"/>
                    </a:xfrm>
                    <a:prstGeom prst="rect">
                      <a:avLst/>
                    </a:prstGeom>
                  </pic:spPr>
                </pic:pic>
              </a:graphicData>
            </a:graphic>
            <wp14:sizeRelH relativeFrom="page">
              <wp14:pctWidth>0</wp14:pctWidth>
            </wp14:sizeRelH>
            <wp14:sizeRelV relativeFrom="page">
              <wp14:pctHeight>0</wp14:pctHeight>
            </wp14:sizeRelV>
          </wp:anchor>
        </w:drawing>
      </w:r>
      <w:r w:rsidR="006519AF">
        <w:rPr>
          <w:sz w:val="28"/>
          <w:szCs w:val="28"/>
        </w:rPr>
        <w:t>Leanne Bentley</w:t>
      </w:r>
      <w:r w:rsidR="003E749D" w:rsidRPr="002555D7">
        <w:br w:type="page"/>
      </w:r>
    </w:p>
    <w:sdt>
      <w:sdtPr>
        <w:rPr>
          <w:rFonts w:ascii="Trebuchet MS" w:eastAsia="Times New Roman" w:hAnsi="Trebuchet MS" w:cs="Times New Roman"/>
          <w:color w:val="auto"/>
          <w:sz w:val="24"/>
          <w:szCs w:val="24"/>
        </w:rPr>
        <w:id w:val="-981085015"/>
        <w:docPartObj>
          <w:docPartGallery w:val="Table of Contents"/>
          <w:docPartUnique/>
        </w:docPartObj>
      </w:sdtPr>
      <w:sdtEndPr/>
      <w:sdtContent>
        <w:p w14:paraId="3EE0BA9E" w14:textId="648C1580" w:rsidR="000C4C7A" w:rsidRPr="006519AF" w:rsidRDefault="006519AF">
          <w:pPr>
            <w:pStyle w:val="TOCHeading"/>
            <w:rPr>
              <w:rStyle w:val="Heading1Char"/>
              <w:rFonts w:ascii="Trebuchet MS" w:hAnsi="Trebuchet MS"/>
            </w:rPr>
          </w:pPr>
          <w:r w:rsidRPr="006519AF">
            <w:rPr>
              <w:rStyle w:val="Heading1Char"/>
              <w:rFonts w:ascii="Trebuchet MS" w:hAnsi="Trebuchet MS"/>
            </w:rPr>
            <w:t>Contents</w:t>
          </w:r>
        </w:p>
        <w:p w14:paraId="4E640EE6" w14:textId="4C597BCC" w:rsidR="000C4C7A" w:rsidRDefault="00AA35B5">
          <w:pPr>
            <w:pStyle w:val="TOC1"/>
          </w:pPr>
          <w:r>
            <w:rPr>
              <w:b/>
              <w:bCs/>
            </w:rPr>
            <w:t>Introduction</w:t>
          </w:r>
          <w:r w:rsidR="000C4C7A">
            <w:ptab w:relativeTo="margin" w:alignment="right" w:leader="dot"/>
          </w:r>
          <w:r>
            <w:rPr>
              <w:b/>
              <w:bCs/>
            </w:rPr>
            <w:t>3</w:t>
          </w:r>
        </w:p>
        <w:p w14:paraId="73FD25E2" w14:textId="5629245C" w:rsidR="000C4C7A" w:rsidRDefault="00AA35B5">
          <w:pPr>
            <w:pStyle w:val="TOC1"/>
          </w:pPr>
          <w:bookmarkStart w:id="0" w:name="_Hlk142643785"/>
          <w:r>
            <w:rPr>
              <w:b/>
              <w:bCs/>
            </w:rPr>
            <w:t>Planning Ahead of a Visit</w:t>
          </w:r>
          <w:r w:rsidR="000C4C7A">
            <w:ptab w:relativeTo="margin" w:alignment="right" w:leader="dot"/>
          </w:r>
          <w:r>
            <w:rPr>
              <w:b/>
              <w:bCs/>
            </w:rPr>
            <w:t>3</w:t>
          </w:r>
        </w:p>
        <w:bookmarkEnd w:id="0"/>
        <w:p w14:paraId="51A33B72" w14:textId="17639D2C" w:rsidR="000C4C7A" w:rsidRDefault="00D631EA">
          <w:pPr>
            <w:pStyle w:val="TOC2"/>
            <w:ind w:left="216"/>
          </w:pPr>
          <w:r>
            <w:t>Points</w:t>
          </w:r>
          <w:r w:rsidR="00AA35B5">
            <w:t xml:space="preserve"> to discuss at a meeting</w:t>
          </w:r>
          <w:r w:rsidR="000C4C7A">
            <w:ptab w:relativeTo="margin" w:alignment="right" w:leader="dot"/>
          </w:r>
          <w:r>
            <w:t>4</w:t>
          </w:r>
        </w:p>
        <w:p w14:paraId="4986A05F" w14:textId="78A0409D" w:rsidR="00D631EA" w:rsidRDefault="00D631EA" w:rsidP="00D631EA">
          <w:pPr>
            <w:pStyle w:val="TOC1"/>
          </w:pPr>
          <w:r>
            <w:rPr>
              <w:b/>
              <w:bCs/>
            </w:rPr>
            <w:t>Making Reasonable Adjustments</w:t>
          </w:r>
          <w:r>
            <w:ptab w:relativeTo="margin" w:alignment="right" w:leader="dot"/>
          </w:r>
          <w:r w:rsidR="0078352A">
            <w:rPr>
              <w:b/>
              <w:bCs/>
            </w:rPr>
            <w:t>4</w:t>
          </w:r>
        </w:p>
        <w:p w14:paraId="4CC336F3" w14:textId="266EF864" w:rsidR="00D631EA" w:rsidRDefault="00D631EA" w:rsidP="00D631EA">
          <w:pPr>
            <w:pStyle w:val="TOC1"/>
          </w:pPr>
          <w:r>
            <w:rPr>
              <w:b/>
              <w:bCs/>
            </w:rPr>
            <w:t>Evidence</w:t>
          </w:r>
          <w:r>
            <w:ptab w:relativeTo="margin" w:alignment="right" w:leader="dot"/>
          </w:r>
          <w:r w:rsidR="0078352A">
            <w:rPr>
              <w:b/>
              <w:bCs/>
            </w:rPr>
            <w:t>5</w:t>
          </w:r>
        </w:p>
        <w:p w14:paraId="261B469F" w14:textId="36FEE6DF" w:rsidR="00D631EA" w:rsidRDefault="00D631EA" w:rsidP="00D631EA">
          <w:pPr>
            <w:pStyle w:val="TOC1"/>
          </w:pPr>
          <w:r>
            <w:rPr>
              <w:b/>
              <w:bCs/>
            </w:rPr>
            <w:t>Disclosing Mental Health Concerns (undiagnosed or diagnosed)</w:t>
          </w:r>
          <w:r>
            <w:ptab w:relativeTo="margin" w:alignment="right" w:leader="dot"/>
          </w:r>
          <w:r w:rsidR="0078352A">
            <w:rPr>
              <w:b/>
              <w:bCs/>
            </w:rPr>
            <w:t>5</w:t>
          </w:r>
        </w:p>
        <w:p w14:paraId="62A65628" w14:textId="528E9526" w:rsidR="00D631EA" w:rsidRDefault="00D631EA" w:rsidP="00D631EA">
          <w:pPr>
            <w:pStyle w:val="TOC1"/>
          </w:pPr>
          <w:r>
            <w:rPr>
              <w:b/>
              <w:bCs/>
            </w:rPr>
            <w:t xml:space="preserve">Insurance </w:t>
          </w:r>
          <w:r>
            <w:ptab w:relativeTo="margin" w:alignment="right" w:leader="dot"/>
          </w:r>
          <w:r w:rsidR="0078352A">
            <w:rPr>
              <w:b/>
              <w:bCs/>
            </w:rPr>
            <w:t>5</w:t>
          </w:r>
        </w:p>
        <w:p w14:paraId="2244219D" w14:textId="740A7581" w:rsidR="00D631EA" w:rsidRDefault="00D631EA" w:rsidP="00D631EA">
          <w:pPr>
            <w:pStyle w:val="TOC1"/>
          </w:pPr>
          <w:r>
            <w:rPr>
              <w:b/>
              <w:bCs/>
            </w:rPr>
            <w:t>Definitions</w:t>
          </w:r>
          <w:r>
            <w:ptab w:relativeTo="margin" w:alignment="right" w:leader="dot"/>
          </w:r>
          <w:r w:rsidR="0078352A">
            <w:rPr>
              <w:b/>
              <w:bCs/>
            </w:rPr>
            <w:t>7</w:t>
          </w:r>
        </w:p>
        <w:p w14:paraId="2ACA38C9" w14:textId="61B85F49" w:rsidR="00D631EA" w:rsidRDefault="00D631EA" w:rsidP="00D631EA">
          <w:pPr>
            <w:pStyle w:val="TOC1"/>
            <w:rPr>
              <w:b/>
              <w:bCs/>
            </w:rPr>
          </w:pPr>
          <w:r>
            <w:rPr>
              <w:b/>
              <w:bCs/>
            </w:rPr>
            <w:t>Useful Contacts</w:t>
          </w:r>
          <w:r>
            <w:ptab w:relativeTo="margin" w:alignment="right" w:leader="dot"/>
          </w:r>
          <w:r w:rsidR="0078352A">
            <w:rPr>
              <w:b/>
              <w:bCs/>
            </w:rPr>
            <w:t>7</w:t>
          </w:r>
        </w:p>
        <w:p w14:paraId="1D7C6763" w14:textId="2D07B1FB" w:rsidR="00CA07AE" w:rsidRDefault="00CA07AE" w:rsidP="00CA07AE">
          <w:pPr>
            <w:pStyle w:val="TOC1"/>
            <w:rPr>
              <w:b/>
              <w:bCs/>
            </w:rPr>
          </w:pPr>
          <w:r>
            <w:rPr>
              <w:b/>
              <w:bCs/>
            </w:rPr>
            <w:t>Appendix</w:t>
          </w:r>
          <w:r>
            <w:ptab w:relativeTo="margin" w:alignment="right" w:leader="dot"/>
          </w:r>
          <w:r>
            <w:rPr>
              <w:b/>
              <w:bCs/>
            </w:rPr>
            <w:t>8</w:t>
          </w:r>
        </w:p>
        <w:p w14:paraId="62B3F38D" w14:textId="0BA57430" w:rsidR="00CA07AE" w:rsidRDefault="00CA07AE" w:rsidP="00CA07AE">
          <w:pPr>
            <w:pStyle w:val="TOC2"/>
            <w:ind w:left="216"/>
          </w:pPr>
          <w:r>
            <w:t xml:space="preserve">Reasonable </w:t>
          </w:r>
          <w:r w:rsidR="00C26813">
            <w:t>a</w:t>
          </w:r>
          <w:r>
            <w:t xml:space="preserve">djustments </w:t>
          </w:r>
          <w:r w:rsidR="00C26813">
            <w:t>r</w:t>
          </w:r>
          <w:r>
            <w:t>ecord</w:t>
          </w:r>
          <w:r w:rsidR="00C26813">
            <w:t xml:space="preserve"> template</w:t>
          </w:r>
          <w:r>
            <w:ptab w:relativeTo="margin" w:alignment="right" w:leader="dot"/>
          </w:r>
          <w:r>
            <w:t>8</w:t>
          </w:r>
        </w:p>
        <w:p w14:paraId="7F1681BF" w14:textId="77777777" w:rsidR="00CA07AE" w:rsidRPr="00CA07AE" w:rsidRDefault="00CA07AE" w:rsidP="00CA07AE">
          <w:pPr>
            <w:rPr>
              <w:lang w:val="en-GB" w:eastAsia="en-GB"/>
            </w:rPr>
          </w:pPr>
        </w:p>
        <w:p w14:paraId="1AE482C2" w14:textId="77777777" w:rsidR="00CA07AE" w:rsidRDefault="00CA07AE" w:rsidP="00CA07AE">
          <w:pPr>
            <w:rPr>
              <w:lang w:val="en-GB" w:eastAsia="en-GB"/>
            </w:rPr>
          </w:pPr>
        </w:p>
        <w:p w14:paraId="3E90868D" w14:textId="77777777" w:rsidR="00D631EA" w:rsidRPr="00D631EA" w:rsidRDefault="00D631EA" w:rsidP="00D631EA">
          <w:pPr>
            <w:rPr>
              <w:lang w:val="en-GB" w:eastAsia="en-GB"/>
            </w:rPr>
          </w:pPr>
        </w:p>
        <w:p w14:paraId="7E2C776D" w14:textId="63915043" w:rsidR="000C4C7A" w:rsidRDefault="00E31D16">
          <w:pPr>
            <w:pStyle w:val="TOC3"/>
            <w:ind w:left="446"/>
          </w:pPr>
        </w:p>
      </w:sdtContent>
    </w:sdt>
    <w:p w14:paraId="3696606D" w14:textId="5508B791" w:rsidR="006519AF" w:rsidRPr="00A32AD8" w:rsidRDefault="008320B0" w:rsidP="006519AF">
      <w:pPr>
        <w:rPr>
          <w:b/>
          <w:szCs w:val="24"/>
        </w:rPr>
      </w:pPr>
      <w:r>
        <w:br w:type="page"/>
      </w:r>
    </w:p>
    <w:p w14:paraId="207ECE38" w14:textId="35EC4734" w:rsidR="00FA2B17" w:rsidRDefault="00FA2B17" w:rsidP="00FA2B17">
      <w:pPr>
        <w:pStyle w:val="Heading1"/>
      </w:pPr>
      <w:r>
        <w:lastRenderedPageBreak/>
        <w:t>Introduction</w:t>
      </w:r>
    </w:p>
    <w:p w14:paraId="41FDFB6E" w14:textId="68FD48C7" w:rsidR="006519AF" w:rsidRPr="005A01BA" w:rsidRDefault="006519AF" w:rsidP="005A01BA">
      <w:r w:rsidRPr="005A01BA">
        <w:t>This guidance will help assess the risks and concerns when planning school trips that include pupils with known emotional wellbeing or mental health illnesses, or concerns. It can be used to consider whether reasonable adjustments can be made so that the pupil(s) can be included.</w:t>
      </w:r>
    </w:p>
    <w:p w14:paraId="47A38FE4" w14:textId="5F51908B" w:rsidR="006519AF" w:rsidRPr="005A01BA" w:rsidRDefault="006519AF" w:rsidP="005A01BA">
      <w:pPr>
        <w:rPr>
          <w:b/>
        </w:rPr>
      </w:pPr>
      <w:r w:rsidRPr="005A01BA">
        <w:t xml:space="preserve">Outdoor learning, school trips and educational visits provide numerous benefits to young people, including improvements to mental health and wellbeing. It is important to remember </w:t>
      </w:r>
      <w:r w:rsidRPr="005A01BA">
        <w:rPr>
          <w:b/>
        </w:rPr>
        <w:t>‘</w:t>
      </w:r>
      <w:r w:rsidR="000A04D5">
        <w:rPr>
          <w:b/>
        </w:rPr>
        <w:t>’</w:t>
      </w:r>
      <w:r w:rsidR="003A5CBF">
        <w:rPr>
          <w:b/>
        </w:rPr>
        <w:t>e</w:t>
      </w:r>
      <w:r w:rsidRPr="005A01BA">
        <w:rPr>
          <w:b/>
        </w:rPr>
        <w:t xml:space="preserve">very young person </w:t>
      </w:r>
      <w:r w:rsidR="00984455">
        <w:rPr>
          <w:b/>
        </w:rPr>
        <w:t>should expereince</w:t>
      </w:r>
      <w:r w:rsidRPr="005A01BA">
        <w:rPr>
          <w:b/>
        </w:rPr>
        <w:t xml:space="preserve"> the world beyond the classroom as an essential part of learning and </w:t>
      </w:r>
      <w:r w:rsidR="00984455">
        <w:rPr>
          <w:b/>
        </w:rPr>
        <w:t xml:space="preserve">personal </w:t>
      </w:r>
      <w:r w:rsidRPr="005A01BA">
        <w:rPr>
          <w:b/>
        </w:rPr>
        <w:t xml:space="preserve">development </w:t>
      </w:r>
      <w:r w:rsidR="00984455">
        <w:rPr>
          <w:b/>
        </w:rPr>
        <w:t>whatever their</w:t>
      </w:r>
      <w:r w:rsidRPr="005A01BA">
        <w:rPr>
          <w:b/>
        </w:rPr>
        <w:t xml:space="preserve"> age, ability </w:t>
      </w:r>
      <w:r w:rsidR="00984455">
        <w:rPr>
          <w:b/>
        </w:rPr>
        <w:t>or</w:t>
      </w:r>
      <w:r w:rsidR="000A04D5">
        <w:rPr>
          <w:b/>
        </w:rPr>
        <w:t xml:space="preserve"> </w:t>
      </w:r>
      <w:r w:rsidRPr="005A01BA">
        <w:rPr>
          <w:b/>
        </w:rPr>
        <w:t>circumstance</w:t>
      </w:r>
      <w:r w:rsidR="00984455">
        <w:rPr>
          <w:b/>
        </w:rPr>
        <w:t>s</w:t>
      </w:r>
      <w:r w:rsidR="0037096F">
        <w:rPr>
          <w:b/>
        </w:rPr>
        <w:t>,</w:t>
      </w:r>
      <w:r w:rsidR="000A04D5">
        <w:rPr>
          <w:b/>
        </w:rPr>
        <w:t>’</w:t>
      </w:r>
      <w:r w:rsidRPr="005A01BA">
        <w:rPr>
          <w:b/>
        </w:rPr>
        <w:t>’</w:t>
      </w:r>
      <w:r w:rsidR="0037096F">
        <w:rPr>
          <w:b/>
        </w:rPr>
        <w:t xml:space="preserve"> </w:t>
      </w:r>
      <w:r w:rsidR="000A04D5" w:rsidRPr="000A04D5">
        <w:rPr>
          <w:bCs/>
        </w:rPr>
        <w:t>(</w:t>
      </w:r>
      <w:r w:rsidR="0037096F" w:rsidRPr="0037096F">
        <w:rPr>
          <w:bCs/>
        </w:rPr>
        <w:t>Learning Outside the Classroom</w:t>
      </w:r>
      <w:r w:rsidR="000A04D5">
        <w:rPr>
          <w:bCs/>
        </w:rPr>
        <w:t>,</w:t>
      </w:r>
      <w:r w:rsidR="0037096F" w:rsidRPr="0037096F">
        <w:rPr>
          <w:bCs/>
        </w:rPr>
        <w:t xml:space="preserve"> Manifesto</w:t>
      </w:r>
      <w:r w:rsidR="000A04D5">
        <w:rPr>
          <w:bCs/>
        </w:rPr>
        <w:t>)</w:t>
      </w:r>
      <w:r w:rsidRPr="0037096F">
        <w:rPr>
          <w:bCs/>
        </w:rPr>
        <w:t>.</w:t>
      </w:r>
      <w:r w:rsidRPr="005A01BA">
        <w:t xml:space="preserve"> However, mental health is becoming an increasing reason for hospitalisation and repatriation from visits according to the Expeditions Providers Association (EPA).</w:t>
      </w:r>
    </w:p>
    <w:p w14:paraId="68D3EB01" w14:textId="5D615076" w:rsidR="006519AF" w:rsidRPr="005A01BA" w:rsidRDefault="007029AA" w:rsidP="007029AA">
      <w:pPr>
        <w:pStyle w:val="Heading1"/>
      </w:pPr>
      <w:r>
        <w:t>Planning Ahead of a Visit</w:t>
      </w:r>
    </w:p>
    <w:p w14:paraId="24EB62A7" w14:textId="2ACC2898" w:rsidR="006519AF" w:rsidRPr="005A01BA" w:rsidRDefault="006519AF" w:rsidP="005A01BA">
      <w:r w:rsidRPr="005A01BA">
        <w:t>At the initial planning stage the visit leader should liaise with the Designated Safeguard Lead (DSL)</w:t>
      </w:r>
      <w:r w:rsidR="00FA2B17">
        <w:t>, Special Educational Needs Coordinator</w:t>
      </w:r>
      <w:r w:rsidRPr="005A01BA">
        <w:t xml:space="preserve"> </w:t>
      </w:r>
      <w:r w:rsidR="00FA2B17">
        <w:t>(</w:t>
      </w:r>
      <w:r w:rsidRPr="005A01BA">
        <w:t>SENCO</w:t>
      </w:r>
      <w:r w:rsidR="00FA2B17">
        <w:t>)</w:t>
      </w:r>
      <w:r w:rsidRPr="005A01BA">
        <w:t xml:space="preserve"> to check if there are any known additional needs, emotional wellbeing or mental health concerns affecting the intended group. </w:t>
      </w:r>
    </w:p>
    <w:p w14:paraId="7534599C" w14:textId="77777777" w:rsidR="006519AF" w:rsidRPr="005A01BA" w:rsidRDefault="006519AF" w:rsidP="005A01BA">
      <w:r w:rsidRPr="005A01BA">
        <w:t xml:space="preserve">The visit leader needs a clear understanding of the pupils needs, triggers, behaviours and coping strategies used in school and at home. </w:t>
      </w:r>
    </w:p>
    <w:p w14:paraId="4575F3FB" w14:textId="556182C5" w:rsidR="007029AA" w:rsidRDefault="006519AF" w:rsidP="005A01BA">
      <w:r w:rsidRPr="005A01BA">
        <w:t>A meeting to discuss the proposed visit and the pupil’s needs</w:t>
      </w:r>
      <w:r w:rsidR="0003649E">
        <w:t>,</w:t>
      </w:r>
      <w:r w:rsidRPr="005A01BA">
        <w:t xml:space="preserve"> should be arranged by the Visit Leader and E</w:t>
      </w:r>
      <w:r w:rsidR="007029AA">
        <w:t>ducational Visits Coordinator (EVC)</w:t>
      </w:r>
      <w:r w:rsidRPr="005A01BA">
        <w:t xml:space="preserve"> as soon as possible.</w:t>
      </w:r>
      <w:r w:rsidR="007029AA">
        <w:t xml:space="preserve"> People to include:</w:t>
      </w:r>
    </w:p>
    <w:p w14:paraId="13CBCC50" w14:textId="1DF1846C" w:rsidR="007029AA" w:rsidRPr="00A87ACF" w:rsidRDefault="007029AA" w:rsidP="007029AA">
      <w:pPr>
        <w:pStyle w:val="ListParagraph"/>
        <w:numPr>
          <w:ilvl w:val="0"/>
          <w:numId w:val="7"/>
        </w:numPr>
        <w:rPr>
          <w:rFonts w:ascii="Trebuchet MS" w:hAnsi="Trebuchet MS"/>
          <w:sz w:val="24"/>
        </w:rPr>
      </w:pPr>
      <w:r w:rsidRPr="00A87ACF">
        <w:rPr>
          <w:rFonts w:ascii="Trebuchet MS" w:hAnsi="Trebuchet MS"/>
          <w:sz w:val="24"/>
        </w:rPr>
        <w:t>Visit Leader</w:t>
      </w:r>
    </w:p>
    <w:p w14:paraId="38726B6A" w14:textId="77777777" w:rsidR="007029AA" w:rsidRPr="00A87ACF" w:rsidRDefault="007029AA" w:rsidP="007029AA">
      <w:pPr>
        <w:pStyle w:val="ListParagraph"/>
        <w:numPr>
          <w:ilvl w:val="0"/>
          <w:numId w:val="7"/>
        </w:numPr>
        <w:rPr>
          <w:rFonts w:ascii="Trebuchet MS" w:hAnsi="Trebuchet MS"/>
          <w:sz w:val="24"/>
        </w:rPr>
      </w:pPr>
      <w:r w:rsidRPr="00A87ACF">
        <w:rPr>
          <w:rFonts w:ascii="Trebuchet MS" w:hAnsi="Trebuchet MS"/>
          <w:sz w:val="24"/>
        </w:rPr>
        <w:t>EVC</w:t>
      </w:r>
    </w:p>
    <w:p w14:paraId="17A9A853" w14:textId="77777777" w:rsidR="007029AA" w:rsidRPr="00A87ACF" w:rsidRDefault="007029AA" w:rsidP="007029AA">
      <w:pPr>
        <w:pStyle w:val="ListParagraph"/>
        <w:numPr>
          <w:ilvl w:val="0"/>
          <w:numId w:val="7"/>
        </w:numPr>
        <w:rPr>
          <w:rFonts w:ascii="Trebuchet MS" w:hAnsi="Trebuchet MS"/>
          <w:sz w:val="24"/>
        </w:rPr>
      </w:pPr>
      <w:r w:rsidRPr="00A87ACF">
        <w:rPr>
          <w:rFonts w:ascii="Trebuchet MS" w:hAnsi="Trebuchet MS"/>
          <w:sz w:val="24"/>
        </w:rPr>
        <w:t>DSL</w:t>
      </w:r>
    </w:p>
    <w:p w14:paraId="199B25EE" w14:textId="77777777" w:rsidR="007029AA" w:rsidRPr="00A87ACF" w:rsidRDefault="007029AA" w:rsidP="00A87ACF">
      <w:pPr>
        <w:pStyle w:val="ListParagraph"/>
        <w:numPr>
          <w:ilvl w:val="0"/>
          <w:numId w:val="7"/>
        </w:numPr>
        <w:ind w:left="714" w:hanging="357"/>
        <w:rPr>
          <w:rFonts w:ascii="Trebuchet MS" w:hAnsi="Trebuchet MS"/>
          <w:sz w:val="24"/>
        </w:rPr>
      </w:pPr>
      <w:r w:rsidRPr="00A87ACF">
        <w:rPr>
          <w:rFonts w:ascii="Trebuchet MS" w:hAnsi="Trebuchet MS"/>
          <w:sz w:val="24"/>
        </w:rPr>
        <w:lastRenderedPageBreak/>
        <w:t>SENCO or Individual Needs Assistant (INA)</w:t>
      </w:r>
    </w:p>
    <w:p w14:paraId="3A41DF17" w14:textId="77777777" w:rsidR="007029AA" w:rsidRPr="00A87ACF" w:rsidRDefault="007029AA" w:rsidP="00A87ACF">
      <w:pPr>
        <w:pStyle w:val="ListParagraph"/>
        <w:numPr>
          <w:ilvl w:val="0"/>
          <w:numId w:val="7"/>
        </w:numPr>
        <w:ind w:left="714" w:hanging="357"/>
        <w:rPr>
          <w:rFonts w:ascii="Trebuchet MS" w:hAnsi="Trebuchet MS"/>
          <w:sz w:val="24"/>
        </w:rPr>
      </w:pPr>
      <w:r w:rsidRPr="00A87ACF">
        <w:rPr>
          <w:rFonts w:ascii="Trebuchet MS" w:hAnsi="Trebuchet MS"/>
          <w:sz w:val="24"/>
        </w:rPr>
        <w:t>Parent, Carers</w:t>
      </w:r>
    </w:p>
    <w:p w14:paraId="6B0D531A" w14:textId="77777777" w:rsidR="007029AA" w:rsidRPr="00A87ACF" w:rsidRDefault="007029AA" w:rsidP="00A87ACF">
      <w:pPr>
        <w:pStyle w:val="ListParagraph"/>
        <w:numPr>
          <w:ilvl w:val="0"/>
          <w:numId w:val="7"/>
        </w:numPr>
        <w:ind w:left="714" w:hanging="357"/>
        <w:rPr>
          <w:rFonts w:ascii="Trebuchet MS" w:hAnsi="Trebuchet MS"/>
          <w:sz w:val="24"/>
        </w:rPr>
      </w:pPr>
      <w:r w:rsidRPr="00A87ACF">
        <w:rPr>
          <w:rFonts w:ascii="Trebuchet MS" w:hAnsi="Trebuchet MS"/>
          <w:sz w:val="24"/>
        </w:rPr>
        <w:t>Pupil (if relevant)</w:t>
      </w:r>
    </w:p>
    <w:p w14:paraId="33939173" w14:textId="77777777" w:rsidR="00A87ACF" w:rsidRPr="00A87ACF" w:rsidRDefault="007029AA" w:rsidP="00A87ACF">
      <w:pPr>
        <w:pStyle w:val="ListParagraph"/>
        <w:numPr>
          <w:ilvl w:val="0"/>
          <w:numId w:val="7"/>
        </w:numPr>
        <w:ind w:left="714" w:hanging="357"/>
        <w:rPr>
          <w:rFonts w:ascii="Trebuchet MS" w:hAnsi="Trebuchet MS"/>
          <w:sz w:val="24"/>
        </w:rPr>
      </w:pPr>
      <w:r w:rsidRPr="00A87ACF">
        <w:rPr>
          <w:rFonts w:ascii="Trebuchet MS" w:hAnsi="Trebuchet MS"/>
          <w:sz w:val="24"/>
        </w:rPr>
        <w:t xml:space="preserve">Third party tour, activity </w:t>
      </w:r>
      <w:r w:rsidR="00A87ACF" w:rsidRPr="00A87ACF">
        <w:rPr>
          <w:rFonts w:ascii="Trebuchet MS" w:hAnsi="Trebuchet MS"/>
          <w:sz w:val="24"/>
        </w:rPr>
        <w:t>(if relevant)</w:t>
      </w:r>
    </w:p>
    <w:p w14:paraId="7F558C8F" w14:textId="77777777" w:rsidR="006519AF" w:rsidRPr="00A87ACF" w:rsidRDefault="00A87ACF" w:rsidP="00A87ACF">
      <w:pPr>
        <w:pStyle w:val="ListParagraph"/>
        <w:numPr>
          <w:ilvl w:val="0"/>
          <w:numId w:val="7"/>
        </w:numPr>
        <w:ind w:left="714" w:hanging="357"/>
        <w:rPr>
          <w:sz w:val="24"/>
        </w:rPr>
      </w:pPr>
      <w:r w:rsidRPr="00A87ACF">
        <w:rPr>
          <w:rFonts w:ascii="Trebuchet MS" w:hAnsi="Trebuchet MS"/>
          <w:sz w:val="24"/>
        </w:rPr>
        <w:t>Child and Adolescent Mental Health Services (CAMHS) professionals (if relevant</w:t>
      </w:r>
    </w:p>
    <w:p w14:paraId="07641B63" w14:textId="77777777" w:rsidR="0003649E" w:rsidRDefault="00A87ACF" w:rsidP="003A2848">
      <w:pPr>
        <w:pStyle w:val="Heading2"/>
      </w:pPr>
      <w:r w:rsidRPr="00A87ACF">
        <w:t>Points to discuss</w:t>
      </w:r>
      <w:r w:rsidR="003A2848">
        <w:t xml:space="preserve"> at a meeting</w:t>
      </w:r>
    </w:p>
    <w:p w14:paraId="7B7FCDFF" w14:textId="4D67A07F" w:rsidR="00A87ACF" w:rsidRPr="005A01BA" w:rsidRDefault="0003649E" w:rsidP="00A87ACF">
      <w:r>
        <w:t>Consider:</w:t>
      </w:r>
      <w:r w:rsidR="00A87ACF" w:rsidRPr="005A01BA">
        <w:t xml:space="preserve"> </w:t>
      </w:r>
      <w:r>
        <w:br/>
        <w:t>S</w:t>
      </w:r>
      <w:r w:rsidR="00A87ACF" w:rsidRPr="005A01BA">
        <w:t>igns, symptoms, triggers, behaviour, calming methods, medication, individual risk assessment</w:t>
      </w:r>
      <w:r w:rsidR="003A2848">
        <w:t xml:space="preserve"> or </w:t>
      </w:r>
      <w:r w:rsidR="00A87ACF" w:rsidRPr="005A01BA">
        <w:t>care plan, strengths and difficulties questionnaire (SDQ), reports from CAMHS</w:t>
      </w:r>
      <w:r>
        <w:t xml:space="preserve"> or </w:t>
      </w:r>
      <w:r w:rsidR="00A87ACF" w:rsidRPr="005A01BA">
        <w:t xml:space="preserve">medical practitioner, recent episodes or changes in behaviour, risk reduction plan, details of the trip, travel, activities, expectations, accommodation, insurance. </w:t>
      </w:r>
    </w:p>
    <w:p w14:paraId="5C9D23CE" w14:textId="115F2C58" w:rsidR="00A87ACF" w:rsidRDefault="003A2848" w:rsidP="003A2848">
      <w:pPr>
        <w:pStyle w:val="Heading1"/>
      </w:pPr>
      <w:r>
        <w:t xml:space="preserve">Making </w:t>
      </w:r>
      <w:r w:rsidR="00A87ACF" w:rsidRPr="00A87ACF">
        <w:t xml:space="preserve">Reasonable Adjustments </w:t>
      </w:r>
    </w:p>
    <w:p w14:paraId="61ED4746" w14:textId="7F10E52F" w:rsidR="008B6E2A" w:rsidRPr="00A87ACF" w:rsidRDefault="008B6E2A" w:rsidP="008B6E2A">
      <w:pPr>
        <w:rPr>
          <w:b/>
        </w:rPr>
      </w:pPr>
      <w:r w:rsidRPr="005A01BA">
        <w:t>Us</w:t>
      </w:r>
      <w:r w:rsidR="0003649E">
        <w:t>e</w:t>
      </w:r>
      <w:r w:rsidRPr="005A01BA">
        <w:t xml:space="preserve"> the template</w:t>
      </w:r>
      <w:r w:rsidR="005E036B">
        <w:t xml:space="preserve">, </w:t>
      </w:r>
      <w:r w:rsidRPr="005A01BA">
        <w:t>‘</w:t>
      </w:r>
      <w:r w:rsidR="009516EC">
        <w:t>R</w:t>
      </w:r>
      <w:r w:rsidRPr="005A01BA">
        <w:t xml:space="preserve">easonable </w:t>
      </w:r>
      <w:r w:rsidR="00C26813">
        <w:t>a</w:t>
      </w:r>
      <w:r w:rsidRPr="005A01BA">
        <w:t>djustments</w:t>
      </w:r>
      <w:r w:rsidR="009516EC">
        <w:t xml:space="preserve"> </w:t>
      </w:r>
      <w:r w:rsidR="00C26813">
        <w:t>r</w:t>
      </w:r>
      <w:r w:rsidR="009516EC">
        <w:t>ecord</w:t>
      </w:r>
      <w:r w:rsidR="0003649E">
        <w:t>.</w:t>
      </w:r>
      <w:r w:rsidRPr="005A01BA">
        <w:t>’</w:t>
      </w:r>
      <w:r w:rsidR="005E036B" w:rsidRPr="005E036B">
        <w:t xml:space="preserve"> </w:t>
      </w:r>
      <w:r w:rsidR="005E036B">
        <w:t>(</w:t>
      </w:r>
      <w:r w:rsidR="00EE2F03">
        <w:t xml:space="preserve">see </w:t>
      </w:r>
      <w:r w:rsidR="005E036B">
        <w:t>the appendix).</w:t>
      </w:r>
      <w:r w:rsidRPr="005A01BA">
        <w:t xml:space="preserve"> </w:t>
      </w:r>
      <w:r w:rsidR="0003649E">
        <w:t>A</w:t>
      </w:r>
      <w:r w:rsidRPr="005A01BA">
        <w:t>ll options can be listed</w:t>
      </w:r>
      <w:r w:rsidR="0003649E">
        <w:t>. Give</w:t>
      </w:r>
      <w:r w:rsidRPr="005A01BA">
        <w:t xml:space="preserve"> consideration </w:t>
      </w:r>
      <w:r w:rsidR="0003649E">
        <w:t>to</w:t>
      </w:r>
      <w:r w:rsidRPr="005A01BA">
        <w:t xml:space="preserve"> the advantages and disadvantages of each</w:t>
      </w:r>
      <w:r w:rsidR="0003649E">
        <w:t xml:space="preserve"> option and this</w:t>
      </w:r>
      <w:r w:rsidRPr="005A01BA">
        <w:t xml:space="preserve"> will help identify if any of the options are feasible.</w:t>
      </w:r>
    </w:p>
    <w:p w14:paraId="13737885" w14:textId="28440FF2" w:rsidR="00A87ACF" w:rsidRPr="005A01BA" w:rsidRDefault="00A87ACF" w:rsidP="00A87ACF">
      <w:r w:rsidRPr="005A01BA">
        <w:t>By carefully working through each risk it may be possible to identify adjustments that can be put in place to include the pupil on the visit. For example, adjusting the itinerary to avoid a risk</w:t>
      </w:r>
      <w:r w:rsidR="00DC53AD">
        <w:t>. A</w:t>
      </w:r>
      <w:r w:rsidRPr="005A01BA">
        <w:t>greeing a clear procedure in order to avoid a trigger might be possible. Arranging for an additional member of staff to attend or asking a paren</w:t>
      </w:r>
      <w:r w:rsidR="008B6E2A">
        <w:t xml:space="preserve">t, </w:t>
      </w:r>
      <w:r w:rsidRPr="005A01BA">
        <w:t xml:space="preserve">carer to go on the trip might also be a solution.  </w:t>
      </w:r>
    </w:p>
    <w:p w14:paraId="2C60A4DE" w14:textId="73E52853" w:rsidR="00A87ACF" w:rsidRPr="0075286C" w:rsidRDefault="00A87ACF" w:rsidP="00A87ACF">
      <w:r w:rsidRPr="005A01BA">
        <w:t>However, there will be some situations where the risks are too high despite reasonable adjustments</w:t>
      </w:r>
      <w:r w:rsidR="00DC53AD">
        <w:t>.</w:t>
      </w:r>
      <w:r w:rsidRPr="005A01BA">
        <w:t xml:space="preserve"> </w:t>
      </w:r>
      <w:r w:rsidR="00DC53AD">
        <w:t>It</w:t>
      </w:r>
      <w:r w:rsidRPr="005A01BA">
        <w:t xml:space="preserve"> is acceptable to rule out an adjustment on the grounds of it being too expensive. If this is the case, explain to the pupil and parent</w:t>
      </w:r>
      <w:r w:rsidR="008B6E2A">
        <w:t xml:space="preserve">, </w:t>
      </w:r>
      <w:r w:rsidRPr="005A01BA">
        <w:t xml:space="preserve">carers that each trip is assessed individually and try to identify a potential trip for the future. If the visit is part of the curriculum, the </w:t>
      </w:r>
      <w:r w:rsidRPr="0075286C">
        <w:t xml:space="preserve">pupils not attending the visit </w:t>
      </w:r>
      <w:r w:rsidRPr="0075286C">
        <w:lastRenderedPageBreak/>
        <w:t xml:space="preserve">should be able to achieve the learning objectives that have been set for the visit. </w:t>
      </w:r>
    </w:p>
    <w:p w14:paraId="12A1A4DB" w14:textId="1661B4EA" w:rsidR="00A87ACF" w:rsidRPr="005A01BA" w:rsidRDefault="00A87ACF" w:rsidP="00A87ACF">
      <w:pPr>
        <w:rPr>
          <w:b/>
        </w:rPr>
      </w:pPr>
      <w:r w:rsidRPr="005A01BA">
        <w:rPr>
          <w:b/>
        </w:rPr>
        <w:t>It is important to note that every case should be treated individually</w:t>
      </w:r>
      <w:r w:rsidR="00DC53AD">
        <w:rPr>
          <w:b/>
        </w:rPr>
        <w:t>.</w:t>
      </w:r>
      <w:r w:rsidRPr="005A01BA">
        <w:rPr>
          <w:b/>
        </w:rPr>
        <w:t xml:space="preserve"> </w:t>
      </w:r>
      <w:r w:rsidR="00DC53AD">
        <w:rPr>
          <w:b/>
        </w:rPr>
        <w:t xml:space="preserve">A </w:t>
      </w:r>
      <w:r w:rsidRPr="005A01BA">
        <w:rPr>
          <w:b/>
        </w:rPr>
        <w:t>reasonable adjustment for one child will not be the same for another.</w:t>
      </w:r>
    </w:p>
    <w:p w14:paraId="5E3E0E9E" w14:textId="77777777" w:rsidR="00A87ACF" w:rsidRPr="005A01BA" w:rsidRDefault="00A87ACF" w:rsidP="003C036F">
      <w:pPr>
        <w:pStyle w:val="Heading1"/>
      </w:pPr>
      <w:r w:rsidRPr="005A01BA">
        <w:t>Evidence</w:t>
      </w:r>
    </w:p>
    <w:p w14:paraId="0DC3B1EC" w14:textId="41D6E79B" w:rsidR="00A87ACF" w:rsidRPr="005A01BA" w:rsidRDefault="00A87ACF" w:rsidP="00A87ACF">
      <w:r w:rsidRPr="005A01BA">
        <w:t>Please ensure all documentation is recorded and retained as this evidences how the final decision was reached.  All forms of communication should be logged. This information should be shared with the Head Teacher</w:t>
      </w:r>
      <w:r w:rsidR="00DC53AD">
        <w:t>.</w:t>
      </w:r>
      <w:r w:rsidRPr="005A01BA">
        <w:t xml:space="preserve"> </w:t>
      </w:r>
      <w:r w:rsidR="00DC53AD">
        <w:t>The</w:t>
      </w:r>
      <w:r w:rsidR="00BD56F1">
        <w:t xml:space="preserve"> Head Teacher</w:t>
      </w:r>
      <w:r w:rsidR="00DC53AD">
        <w:t xml:space="preserve"> will </w:t>
      </w:r>
      <w:r w:rsidRPr="005A01BA">
        <w:t>ultimately make</w:t>
      </w:r>
      <w:r w:rsidR="00DC53AD">
        <w:t xml:space="preserve"> </w:t>
      </w:r>
      <w:r w:rsidRPr="005A01BA">
        <w:t xml:space="preserve">the final decision. </w:t>
      </w:r>
    </w:p>
    <w:p w14:paraId="74EE3497" w14:textId="264075FC" w:rsidR="00A87ACF" w:rsidRPr="005A01BA" w:rsidRDefault="00A87ACF" w:rsidP="003C036F">
      <w:pPr>
        <w:pStyle w:val="Heading1"/>
      </w:pPr>
      <w:r w:rsidRPr="005A01BA">
        <w:t xml:space="preserve">Disclosing Mental Health </w:t>
      </w:r>
      <w:r w:rsidR="00D631EA">
        <w:t>C</w:t>
      </w:r>
      <w:r w:rsidRPr="005A01BA">
        <w:t>oncerns (undiagnosed</w:t>
      </w:r>
      <w:r w:rsidR="003C036F">
        <w:t xml:space="preserve"> or diagnosed</w:t>
      </w:r>
      <w:r w:rsidRPr="005A01BA">
        <w:t xml:space="preserve">) </w:t>
      </w:r>
    </w:p>
    <w:p w14:paraId="71646DC1" w14:textId="10328049" w:rsidR="00A87ACF" w:rsidRPr="005A01BA" w:rsidRDefault="00A87ACF" w:rsidP="00A87ACF">
      <w:pPr>
        <w:rPr>
          <w:b/>
        </w:rPr>
      </w:pPr>
      <w:r w:rsidRPr="005A01BA">
        <w:t>If a member of staff has concerns for a pupils mental health this should be discussed internally with the DSL.  If there is a significant concern for the child’s welfare then this can be disclosed to the parent</w:t>
      </w:r>
      <w:r w:rsidR="003C036F">
        <w:t xml:space="preserve">, </w:t>
      </w:r>
      <w:r w:rsidRPr="005A01BA">
        <w:t>carers. If the individual is planning to attend an offsite visit any concerns should be discussed with the parent</w:t>
      </w:r>
      <w:r w:rsidR="003C036F">
        <w:t xml:space="preserve">, </w:t>
      </w:r>
      <w:r w:rsidRPr="005A01BA">
        <w:t xml:space="preserve">carer and the child. </w:t>
      </w:r>
    </w:p>
    <w:p w14:paraId="34D36A58" w14:textId="77777777" w:rsidR="00A87ACF" w:rsidRPr="005A01BA" w:rsidRDefault="00A87ACF" w:rsidP="003C036F">
      <w:pPr>
        <w:pStyle w:val="Heading1"/>
      </w:pPr>
      <w:r w:rsidRPr="005A01BA">
        <w:t xml:space="preserve">Insurance </w:t>
      </w:r>
    </w:p>
    <w:p w14:paraId="2DA374BB" w14:textId="0876AC4C" w:rsidR="00A87ACF" w:rsidRPr="005A01BA" w:rsidRDefault="00A87ACF" w:rsidP="00A87ACF">
      <w:pPr>
        <w:rPr>
          <w:rFonts w:cs="Tahoma"/>
          <w:color w:val="000000"/>
          <w:spacing w:val="2"/>
        </w:rPr>
      </w:pPr>
      <w:r w:rsidRPr="005A01BA">
        <w:t>Most insurance providers</w:t>
      </w:r>
      <w:r w:rsidR="003C036F">
        <w:t>, i</w:t>
      </w:r>
      <w:r w:rsidRPr="005A01BA">
        <w:t xml:space="preserve">ncluding </w:t>
      </w:r>
      <w:r w:rsidR="003C036F">
        <w:t>Eas</w:t>
      </w:r>
      <w:r w:rsidR="00B75715">
        <w:t>t Sussex County Council’s (</w:t>
      </w:r>
      <w:r w:rsidRPr="005A01BA">
        <w:t>ESCC</w:t>
      </w:r>
      <w:r w:rsidR="00B75715">
        <w:t>)</w:t>
      </w:r>
      <w:r w:rsidRPr="005A01BA">
        <w:t xml:space="preserve"> insurance cover</w:t>
      </w:r>
      <w:r w:rsidR="00B75715">
        <w:t>,</w:t>
      </w:r>
      <w:r w:rsidR="002C15D4">
        <w:t xml:space="preserve"> </w:t>
      </w:r>
      <w:r w:rsidRPr="005A01BA">
        <w:t xml:space="preserve">will </w:t>
      </w:r>
      <w:r w:rsidRPr="005A01BA">
        <w:rPr>
          <w:rFonts w:cs="Tahoma"/>
          <w:color w:val="000000"/>
          <w:spacing w:val="2"/>
        </w:rPr>
        <w:t xml:space="preserve">not be liable for </w:t>
      </w:r>
      <w:r w:rsidR="00B75715">
        <w:rPr>
          <w:rFonts w:cs="Tahoma"/>
          <w:color w:val="000000"/>
          <w:spacing w:val="2"/>
        </w:rPr>
        <w:t>‘</w:t>
      </w:r>
      <w:r w:rsidRPr="005A01BA">
        <w:rPr>
          <w:rFonts w:cs="Tahoma"/>
          <w:color w:val="000000"/>
          <w:spacing w:val="2"/>
        </w:rPr>
        <w:t>Bodily Injury</w:t>
      </w:r>
      <w:r w:rsidR="00B75715">
        <w:rPr>
          <w:rFonts w:cs="Tahoma"/>
          <w:color w:val="000000"/>
          <w:spacing w:val="2"/>
        </w:rPr>
        <w:t>’</w:t>
      </w:r>
      <w:r w:rsidRPr="005A01BA">
        <w:rPr>
          <w:rFonts w:cs="Tahoma"/>
          <w:color w:val="000000"/>
          <w:spacing w:val="2"/>
        </w:rPr>
        <w:t xml:space="preserve"> loss or expense </w:t>
      </w:r>
      <w:r w:rsidR="00B75715">
        <w:rPr>
          <w:rFonts w:cs="Tahoma"/>
          <w:color w:val="000000"/>
          <w:spacing w:val="2"/>
        </w:rPr>
        <w:t>d</w:t>
      </w:r>
      <w:r w:rsidRPr="005A01BA">
        <w:rPr>
          <w:rFonts w:cs="Tahoma"/>
          <w:color w:val="000000"/>
          <w:spacing w:val="2"/>
        </w:rPr>
        <w:t xml:space="preserve">ue </w:t>
      </w:r>
      <w:r w:rsidR="00B75715">
        <w:rPr>
          <w:rFonts w:cs="Tahoma"/>
          <w:color w:val="000000"/>
          <w:spacing w:val="2"/>
        </w:rPr>
        <w:t>t</w:t>
      </w:r>
      <w:r w:rsidRPr="005A01BA">
        <w:rPr>
          <w:rFonts w:cs="Tahoma"/>
          <w:color w:val="000000"/>
          <w:spacing w:val="2"/>
        </w:rPr>
        <w:t>o:</w:t>
      </w:r>
    </w:p>
    <w:p w14:paraId="72C1FDB3" w14:textId="2D2E09A7" w:rsidR="00A87ACF" w:rsidRPr="00B75715" w:rsidRDefault="00A87ACF" w:rsidP="00B75715">
      <w:pPr>
        <w:pStyle w:val="ListParagraph"/>
        <w:numPr>
          <w:ilvl w:val="0"/>
          <w:numId w:val="8"/>
        </w:numPr>
        <w:rPr>
          <w:rFonts w:ascii="Trebuchet MS" w:hAnsi="Trebuchet MS" w:cs="Tahoma"/>
          <w:color w:val="000000"/>
          <w:sz w:val="24"/>
        </w:rPr>
      </w:pPr>
      <w:r w:rsidRPr="00B75715">
        <w:rPr>
          <w:rFonts w:ascii="Trebuchet MS" w:hAnsi="Trebuchet MS" w:cs="Tahoma"/>
          <w:color w:val="000000"/>
          <w:sz w:val="24"/>
        </w:rPr>
        <w:t xml:space="preserve">suicide, attempted suicide or deliberate self-inflicted injury by the </w:t>
      </w:r>
      <w:r w:rsidR="00B75715">
        <w:rPr>
          <w:rFonts w:ascii="Trebuchet MS" w:hAnsi="Trebuchet MS" w:cs="Tahoma"/>
          <w:color w:val="000000"/>
          <w:sz w:val="24"/>
        </w:rPr>
        <w:t>‘I</w:t>
      </w:r>
      <w:r w:rsidRPr="00B75715">
        <w:rPr>
          <w:rFonts w:ascii="Trebuchet MS" w:hAnsi="Trebuchet MS" w:cs="Tahoma"/>
          <w:color w:val="000000"/>
          <w:sz w:val="24"/>
        </w:rPr>
        <w:t>nsured Person</w:t>
      </w:r>
      <w:r w:rsidR="00B75715">
        <w:rPr>
          <w:rFonts w:ascii="Trebuchet MS" w:hAnsi="Trebuchet MS" w:cs="Tahoma"/>
          <w:color w:val="000000"/>
          <w:sz w:val="24"/>
        </w:rPr>
        <w:t>’</w:t>
      </w:r>
      <w:r w:rsidRPr="00B75715">
        <w:rPr>
          <w:rFonts w:ascii="Trebuchet MS" w:hAnsi="Trebuchet MS" w:cs="Tahoma"/>
          <w:color w:val="000000"/>
          <w:sz w:val="24"/>
        </w:rPr>
        <w:t xml:space="preserve"> regardless of the state of their mental health</w:t>
      </w:r>
    </w:p>
    <w:p w14:paraId="650732BB" w14:textId="77777777" w:rsidR="00A87ACF" w:rsidRPr="005A01BA" w:rsidRDefault="00A87ACF" w:rsidP="00A87ACF">
      <w:r w:rsidRPr="005A01BA">
        <w:t>Therefore it is important that:</w:t>
      </w:r>
    </w:p>
    <w:p w14:paraId="6032202D" w14:textId="77777777" w:rsidR="00A87ACF" w:rsidRPr="002C15D4" w:rsidRDefault="00A87ACF" w:rsidP="002C15D4">
      <w:pPr>
        <w:pStyle w:val="ListParagraph"/>
        <w:numPr>
          <w:ilvl w:val="0"/>
          <w:numId w:val="8"/>
        </w:numPr>
        <w:rPr>
          <w:rFonts w:ascii="Trebuchet MS" w:hAnsi="Trebuchet MS"/>
          <w:sz w:val="24"/>
        </w:rPr>
      </w:pPr>
      <w:r w:rsidRPr="002C15D4">
        <w:rPr>
          <w:rFonts w:ascii="Trebuchet MS" w:hAnsi="Trebuchet MS"/>
          <w:sz w:val="24"/>
        </w:rPr>
        <w:t xml:space="preserve">insurance policy limitations are checked </w:t>
      </w:r>
    </w:p>
    <w:p w14:paraId="7E0952EF" w14:textId="5C323DD5" w:rsidR="00A87ACF" w:rsidRPr="002C15D4" w:rsidRDefault="00A87ACF" w:rsidP="002C15D4">
      <w:pPr>
        <w:pStyle w:val="ListParagraph"/>
        <w:numPr>
          <w:ilvl w:val="0"/>
          <w:numId w:val="8"/>
        </w:numPr>
        <w:rPr>
          <w:rFonts w:ascii="Trebuchet MS" w:hAnsi="Trebuchet MS"/>
          <w:sz w:val="24"/>
        </w:rPr>
      </w:pPr>
      <w:r w:rsidRPr="002C15D4">
        <w:rPr>
          <w:rFonts w:ascii="Trebuchet MS" w:hAnsi="Trebuchet MS"/>
          <w:sz w:val="24"/>
        </w:rPr>
        <w:t xml:space="preserve">limitations are communicated to the Head Teacher, EVC, Visit Leader and </w:t>
      </w:r>
      <w:r w:rsidRPr="002C15D4">
        <w:rPr>
          <w:rFonts w:ascii="Trebuchet MS" w:hAnsi="Trebuchet MS"/>
          <w:sz w:val="24"/>
        </w:rPr>
        <w:lastRenderedPageBreak/>
        <w:t>Parent</w:t>
      </w:r>
      <w:r w:rsidR="002C15D4">
        <w:rPr>
          <w:rFonts w:ascii="Trebuchet MS" w:hAnsi="Trebuchet MS"/>
          <w:sz w:val="24"/>
        </w:rPr>
        <w:t xml:space="preserve">, </w:t>
      </w:r>
      <w:r w:rsidRPr="002C15D4">
        <w:rPr>
          <w:rFonts w:ascii="Trebuchet MS" w:hAnsi="Trebuchet MS"/>
          <w:sz w:val="24"/>
        </w:rPr>
        <w:t>Carer</w:t>
      </w:r>
    </w:p>
    <w:p w14:paraId="46BF8CF1" w14:textId="36B2C6B9" w:rsidR="00A87ACF" w:rsidRPr="002C15D4" w:rsidRDefault="00A87ACF" w:rsidP="00A06BC8">
      <w:pPr>
        <w:pStyle w:val="ListParagraph"/>
        <w:numPr>
          <w:ilvl w:val="0"/>
          <w:numId w:val="8"/>
        </w:numPr>
        <w:ind w:left="714" w:hanging="357"/>
        <w:rPr>
          <w:rFonts w:ascii="Trebuchet MS" w:hAnsi="Trebuchet MS"/>
          <w:sz w:val="24"/>
        </w:rPr>
      </w:pPr>
      <w:r w:rsidRPr="002C15D4">
        <w:rPr>
          <w:rFonts w:ascii="Trebuchet MS" w:hAnsi="Trebuchet MS"/>
          <w:sz w:val="24"/>
        </w:rPr>
        <w:t>contingency plans are in place to manage the unlikely event of an uninsured injury</w:t>
      </w:r>
    </w:p>
    <w:p w14:paraId="745EB7AB" w14:textId="42AB8BDB" w:rsidR="00A87ACF" w:rsidRPr="00053FF0" w:rsidRDefault="00A87ACF" w:rsidP="00A87ACF">
      <w:pPr>
        <w:pStyle w:val="ListParagraph"/>
        <w:numPr>
          <w:ilvl w:val="0"/>
          <w:numId w:val="8"/>
        </w:numPr>
        <w:ind w:left="714" w:hanging="357"/>
        <w:rPr>
          <w:rFonts w:ascii="Trebuchet MS" w:hAnsi="Trebuchet MS"/>
          <w:sz w:val="24"/>
        </w:rPr>
        <w:sectPr w:rsidR="00A87ACF" w:rsidRPr="00053FF0">
          <w:footerReference w:type="default" r:id="rId18"/>
          <w:footerReference w:type="first" r:id="rId19"/>
          <w:pgSz w:w="11906" w:h="16838"/>
          <w:pgMar w:top="1440" w:right="1440" w:bottom="1440" w:left="1440" w:header="708" w:footer="708" w:gutter="0"/>
          <w:cols w:space="708"/>
          <w:docGrid w:linePitch="360"/>
        </w:sectPr>
      </w:pPr>
      <w:r w:rsidRPr="002C15D4">
        <w:rPr>
          <w:rFonts w:ascii="Trebuchet MS" w:hAnsi="Trebuchet MS"/>
          <w:sz w:val="24"/>
        </w:rPr>
        <w:t>if there was an emergency whilst on the visit, or prior to the visit taking place</w:t>
      </w:r>
      <w:r w:rsidR="00DC53AD">
        <w:rPr>
          <w:rFonts w:ascii="Trebuchet MS" w:hAnsi="Trebuchet MS"/>
          <w:sz w:val="24"/>
        </w:rPr>
        <w:t>,</w:t>
      </w:r>
      <w:r w:rsidRPr="002C15D4">
        <w:rPr>
          <w:rFonts w:ascii="Trebuchet MS" w:hAnsi="Trebuchet MS"/>
          <w:sz w:val="24"/>
        </w:rPr>
        <w:t xml:space="preserve"> it is important to inform the insurance provider on their emergency line.  They will assess on a case by case basis if cover is provided</w:t>
      </w:r>
      <w:r w:rsidR="00053FF0">
        <w:rPr>
          <w:rFonts w:ascii="Trebuchet MS" w:hAnsi="Trebuchet MS"/>
          <w:sz w:val="24"/>
        </w:rPr>
        <w:t>.</w:t>
      </w:r>
    </w:p>
    <w:p w14:paraId="1EB4D24C" w14:textId="335F648F" w:rsidR="00A87ACF" w:rsidRPr="005A01BA" w:rsidRDefault="00A87ACF" w:rsidP="00111093">
      <w:pPr>
        <w:pStyle w:val="Heading1"/>
        <w:spacing w:line="360" w:lineRule="auto"/>
      </w:pPr>
      <w:r w:rsidRPr="005A01BA">
        <w:lastRenderedPageBreak/>
        <w:t>Definitions</w:t>
      </w:r>
    </w:p>
    <w:p w14:paraId="19F482A8" w14:textId="3D56688F" w:rsidR="00A87ACF" w:rsidRPr="005A01BA" w:rsidRDefault="00A87ACF" w:rsidP="00111093">
      <w:r w:rsidRPr="00633269">
        <w:rPr>
          <w:b/>
          <w:iCs/>
        </w:rPr>
        <w:t>Reasonable</w:t>
      </w:r>
      <w:r w:rsidR="00633269">
        <w:br/>
      </w:r>
      <w:r w:rsidRPr="005A01BA">
        <w:t>Various factors influence whether a particular adjustment is considered reasonable</w:t>
      </w:r>
      <w:r w:rsidR="00572711">
        <w:t>. These include</w:t>
      </w:r>
      <w:r w:rsidRPr="005A01BA">
        <w:t>:</w:t>
      </w:r>
    </w:p>
    <w:p w14:paraId="544520BA" w14:textId="15F42AA6" w:rsidR="00A87ACF" w:rsidRPr="002C15D4" w:rsidRDefault="00572711" w:rsidP="00111093">
      <w:pPr>
        <w:pStyle w:val="ListParagraph"/>
        <w:numPr>
          <w:ilvl w:val="0"/>
          <w:numId w:val="9"/>
        </w:numPr>
        <w:rPr>
          <w:rFonts w:ascii="Trebuchet MS" w:hAnsi="Trebuchet MS"/>
          <w:sz w:val="24"/>
        </w:rPr>
      </w:pPr>
      <w:r>
        <w:rPr>
          <w:rFonts w:ascii="Trebuchet MS" w:hAnsi="Trebuchet MS"/>
          <w:sz w:val="24"/>
        </w:rPr>
        <w:t>H</w:t>
      </w:r>
      <w:r w:rsidR="00A87ACF" w:rsidRPr="002C15D4">
        <w:rPr>
          <w:rFonts w:ascii="Trebuchet MS" w:hAnsi="Trebuchet MS"/>
          <w:sz w:val="24"/>
        </w:rPr>
        <w:t>ow effective the change will be in avoiding the disadvantage you would otherwise experience</w:t>
      </w:r>
    </w:p>
    <w:p w14:paraId="7B055429" w14:textId="61B06772" w:rsidR="00A87ACF" w:rsidRPr="002C15D4" w:rsidRDefault="00572711" w:rsidP="00111093">
      <w:pPr>
        <w:pStyle w:val="ListParagraph"/>
        <w:numPr>
          <w:ilvl w:val="0"/>
          <w:numId w:val="9"/>
        </w:numPr>
        <w:rPr>
          <w:rFonts w:ascii="Trebuchet MS" w:hAnsi="Trebuchet MS"/>
          <w:sz w:val="24"/>
        </w:rPr>
      </w:pPr>
      <w:r>
        <w:rPr>
          <w:rFonts w:ascii="Trebuchet MS" w:hAnsi="Trebuchet MS"/>
          <w:sz w:val="24"/>
        </w:rPr>
        <w:t>I</w:t>
      </w:r>
      <w:r w:rsidR="00A87ACF" w:rsidRPr="002C15D4">
        <w:rPr>
          <w:rFonts w:ascii="Trebuchet MS" w:hAnsi="Trebuchet MS"/>
          <w:sz w:val="24"/>
        </w:rPr>
        <w:t>ts practicality</w:t>
      </w:r>
    </w:p>
    <w:p w14:paraId="167AABDF" w14:textId="33630E97" w:rsidR="00A87ACF" w:rsidRPr="002C15D4" w:rsidRDefault="00572711" w:rsidP="00111093">
      <w:pPr>
        <w:pStyle w:val="ListParagraph"/>
        <w:numPr>
          <w:ilvl w:val="0"/>
          <w:numId w:val="9"/>
        </w:numPr>
        <w:rPr>
          <w:rFonts w:ascii="Trebuchet MS" w:hAnsi="Trebuchet MS"/>
          <w:sz w:val="24"/>
        </w:rPr>
      </w:pPr>
      <w:r>
        <w:rPr>
          <w:rFonts w:ascii="Trebuchet MS" w:hAnsi="Trebuchet MS"/>
          <w:sz w:val="24"/>
        </w:rPr>
        <w:t>T</w:t>
      </w:r>
      <w:r w:rsidR="00A87ACF" w:rsidRPr="002C15D4">
        <w:rPr>
          <w:rFonts w:ascii="Trebuchet MS" w:hAnsi="Trebuchet MS"/>
          <w:sz w:val="24"/>
        </w:rPr>
        <w:t>he cost</w:t>
      </w:r>
    </w:p>
    <w:p w14:paraId="7B2050F7" w14:textId="2690965B" w:rsidR="00A87ACF" w:rsidRPr="002C15D4" w:rsidRDefault="00572711" w:rsidP="00111093">
      <w:pPr>
        <w:pStyle w:val="ListParagraph"/>
        <w:numPr>
          <w:ilvl w:val="0"/>
          <w:numId w:val="9"/>
        </w:numPr>
        <w:rPr>
          <w:rFonts w:ascii="Trebuchet MS" w:hAnsi="Trebuchet MS"/>
          <w:sz w:val="24"/>
        </w:rPr>
      </w:pPr>
      <w:r>
        <w:rPr>
          <w:rFonts w:ascii="Trebuchet MS" w:hAnsi="Trebuchet MS"/>
          <w:sz w:val="24"/>
        </w:rPr>
        <w:t>T</w:t>
      </w:r>
      <w:r w:rsidR="00A87ACF" w:rsidRPr="002C15D4">
        <w:rPr>
          <w:rFonts w:ascii="Trebuchet MS" w:hAnsi="Trebuchet MS"/>
          <w:sz w:val="24"/>
        </w:rPr>
        <w:t>heir organisation's resources and size</w:t>
      </w:r>
    </w:p>
    <w:p w14:paraId="21CF1476" w14:textId="27F0E524" w:rsidR="00A87ACF" w:rsidRPr="002C15D4" w:rsidRDefault="00572711" w:rsidP="00111093">
      <w:pPr>
        <w:pStyle w:val="ListParagraph"/>
        <w:numPr>
          <w:ilvl w:val="0"/>
          <w:numId w:val="9"/>
        </w:numPr>
        <w:rPr>
          <w:rFonts w:ascii="Trebuchet MS" w:hAnsi="Trebuchet MS"/>
          <w:sz w:val="24"/>
        </w:rPr>
      </w:pPr>
      <w:r>
        <w:rPr>
          <w:rFonts w:ascii="Trebuchet MS" w:hAnsi="Trebuchet MS"/>
          <w:sz w:val="24"/>
        </w:rPr>
        <w:t>A</w:t>
      </w:r>
      <w:r w:rsidR="00A87ACF" w:rsidRPr="002C15D4">
        <w:rPr>
          <w:rFonts w:ascii="Trebuchet MS" w:hAnsi="Trebuchet MS"/>
          <w:sz w:val="24"/>
        </w:rPr>
        <w:t>vailability of financial support</w:t>
      </w:r>
    </w:p>
    <w:p w14:paraId="2050A8BE" w14:textId="585E4854" w:rsidR="00A87ACF" w:rsidRPr="005A01BA" w:rsidRDefault="00A87ACF" w:rsidP="00111093">
      <w:r w:rsidRPr="00633269">
        <w:rPr>
          <w:b/>
          <w:iCs/>
        </w:rPr>
        <w:t>Self-inflicted injury</w:t>
      </w:r>
      <w:r w:rsidR="00633269">
        <w:br/>
        <w:t>T</w:t>
      </w:r>
      <w:r w:rsidRPr="005A01BA">
        <w:t xml:space="preserve">he act of intentionally hurting oneself. </w:t>
      </w:r>
    </w:p>
    <w:p w14:paraId="51664B80" w14:textId="34099A14" w:rsidR="00A87ACF" w:rsidRPr="005A01BA" w:rsidRDefault="00A87ACF" w:rsidP="00111093">
      <w:pPr>
        <w:pStyle w:val="Heading1"/>
        <w:spacing w:line="360" w:lineRule="auto"/>
      </w:pPr>
      <w:r w:rsidRPr="005A01BA">
        <w:t>Useful Contacts</w:t>
      </w:r>
    </w:p>
    <w:p w14:paraId="5C6B5C78" w14:textId="24FC69B4" w:rsidR="00A87ACF" w:rsidRPr="00633269" w:rsidRDefault="00A87ACF" w:rsidP="00111093">
      <w:pPr>
        <w:rPr>
          <w:color w:val="000000"/>
          <w:sz w:val="22"/>
          <w:lang w:val="en-GB" w:eastAsia="en-GB"/>
        </w:rPr>
      </w:pPr>
      <w:r w:rsidRPr="005A01BA">
        <w:rPr>
          <w:b/>
        </w:rPr>
        <w:t>ESCC Outdoor Education Advisor</w:t>
      </w:r>
      <w:r w:rsidR="00633269">
        <w:rPr>
          <w:b/>
        </w:rPr>
        <w:t xml:space="preserve"> </w:t>
      </w:r>
      <w:r w:rsidR="00633269">
        <w:rPr>
          <w:b/>
        </w:rPr>
        <w:br/>
      </w:r>
      <w:r w:rsidR="00633269">
        <w:rPr>
          <w:bCs/>
        </w:rPr>
        <w:t>T</w:t>
      </w:r>
      <w:r w:rsidR="00633269" w:rsidRPr="00633269">
        <w:rPr>
          <w:bCs/>
        </w:rPr>
        <w:t>elephone number</w:t>
      </w:r>
      <w:r w:rsidR="00633269">
        <w:rPr>
          <w:b/>
        </w:rPr>
        <w:t>:</w:t>
      </w:r>
      <w:r w:rsidRPr="005A01BA">
        <w:rPr>
          <w:b/>
        </w:rPr>
        <w:t xml:space="preserve"> </w:t>
      </w:r>
      <w:r w:rsidR="00633269">
        <w:rPr>
          <w:color w:val="000000"/>
          <w:lang w:eastAsia="en-GB"/>
        </w:rPr>
        <w:t>07395283534</w:t>
      </w:r>
      <w:r w:rsidR="00633269">
        <w:rPr>
          <w:rFonts w:cs="Arial"/>
          <w:color w:val="0D0D0D"/>
          <w:lang w:eastAsia="en-GB"/>
        </w:rPr>
        <w:br/>
        <w:t>E</w:t>
      </w:r>
      <w:r w:rsidRPr="005A01BA">
        <w:rPr>
          <w:rFonts w:cs="Arial"/>
          <w:color w:val="0D0D0D"/>
          <w:lang w:eastAsia="en-GB"/>
        </w:rPr>
        <w:t>mail</w:t>
      </w:r>
      <w:r w:rsidR="00633269">
        <w:rPr>
          <w:rFonts w:cs="Arial"/>
          <w:color w:val="0D0D0D"/>
          <w:lang w:eastAsia="en-GB"/>
        </w:rPr>
        <w:t>:</w:t>
      </w:r>
      <w:r w:rsidRPr="005A01BA">
        <w:rPr>
          <w:rFonts w:cs="Arial"/>
          <w:color w:val="0D0D0D"/>
          <w:lang w:eastAsia="en-GB"/>
        </w:rPr>
        <w:t xml:space="preserve"> </w:t>
      </w:r>
      <w:hyperlink r:id="rId20" w:history="1">
        <w:r w:rsidRPr="005A01BA">
          <w:rPr>
            <w:rStyle w:val="Hyperlink"/>
            <w:rFonts w:cs="Arial"/>
            <w:szCs w:val="24"/>
            <w:lang w:eastAsia="en-GB"/>
          </w:rPr>
          <w:t>leanne.bentley@eastsussex.gov.uk</w:t>
        </w:r>
      </w:hyperlink>
    </w:p>
    <w:p w14:paraId="1DC741CF" w14:textId="026FEFEB" w:rsidR="00A87ACF" w:rsidRPr="005A01BA" w:rsidRDefault="00A87ACF" w:rsidP="00111093">
      <w:pPr>
        <w:rPr>
          <w:color w:val="000000"/>
          <w:lang w:val="en"/>
        </w:rPr>
      </w:pPr>
      <w:r w:rsidRPr="005A01BA">
        <w:rPr>
          <w:rStyle w:val="Strong"/>
          <w:rFonts w:ascii="Trebuchet MS" w:hAnsi="Trebuchet MS"/>
          <w:color w:val="000000"/>
          <w:sz w:val="24"/>
          <w:szCs w:val="24"/>
          <w:lang w:val="en"/>
        </w:rPr>
        <w:t>ESCC Equality and Participation Team</w:t>
      </w:r>
      <w:r w:rsidR="00633269">
        <w:rPr>
          <w:color w:val="000000"/>
          <w:lang w:val="en"/>
        </w:rPr>
        <w:br/>
        <w:t>E</w:t>
      </w:r>
      <w:r w:rsidRPr="005A01BA">
        <w:rPr>
          <w:color w:val="000000"/>
          <w:lang w:val="en"/>
        </w:rPr>
        <w:t>mail</w:t>
      </w:r>
      <w:r w:rsidR="00633269">
        <w:rPr>
          <w:color w:val="000000"/>
          <w:lang w:val="en"/>
        </w:rPr>
        <w:t>:</w:t>
      </w:r>
      <w:r w:rsidRPr="005A01BA">
        <w:rPr>
          <w:color w:val="000000"/>
          <w:lang w:val="en"/>
        </w:rPr>
        <w:t xml:space="preserve"> </w:t>
      </w:r>
      <w:hyperlink r:id="rId21" w:tooltip="Open application in new window: equalityandparticipation @eastsussex.gov.uk" w:history="1">
        <w:r w:rsidRPr="005A01BA">
          <w:rPr>
            <w:rStyle w:val="Hyperlink"/>
            <w:szCs w:val="24"/>
            <w:lang w:val="en"/>
          </w:rPr>
          <w:t>equalityandparticipation @eastsussex.gov.uk</w:t>
        </w:r>
      </w:hyperlink>
    </w:p>
    <w:p w14:paraId="0034705B" w14:textId="189C2220" w:rsidR="00A87ACF" w:rsidRPr="005A01BA" w:rsidRDefault="00E31D16" w:rsidP="00111093">
      <w:pPr>
        <w:rPr>
          <w:b/>
        </w:rPr>
      </w:pPr>
      <w:hyperlink r:id="rId22" w:history="1">
        <w:r w:rsidR="00A87ACF" w:rsidRPr="00633269">
          <w:rPr>
            <w:rStyle w:val="Hyperlink"/>
            <w:b/>
          </w:rPr>
          <w:t>Equality and Human Rights</w:t>
        </w:r>
        <w:r w:rsidR="00633269" w:rsidRPr="00633269">
          <w:rPr>
            <w:rStyle w:val="Hyperlink"/>
            <w:b/>
          </w:rPr>
          <w:t xml:space="preserve"> website</w:t>
        </w:r>
      </w:hyperlink>
    </w:p>
    <w:p w14:paraId="76C6F17A" w14:textId="131B2E20" w:rsidR="00A87ACF" w:rsidRPr="005A01BA" w:rsidRDefault="00E31D16" w:rsidP="00111093">
      <w:pPr>
        <w:rPr>
          <w:b/>
        </w:rPr>
      </w:pPr>
      <w:hyperlink r:id="rId23" w:history="1">
        <w:r w:rsidR="00A87ACF" w:rsidRPr="00633269">
          <w:rPr>
            <w:rStyle w:val="Hyperlink"/>
            <w:b/>
          </w:rPr>
          <w:t xml:space="preserve">Outdoor Education </w:t>
        </w:r>
        <w:r w:rsidR="00633269" w:rsidRPr="00633269">
          <w:rPr>
            <w:rStyle w:val="Hyperlink"/>
            <w:b/>
          </w:rPr>
          <w:t>Advisers</w:t>
        </w:r>
        <w:r w:rsidR="00A87ACF" w:rsidRPr="00633269">
          <w:rPr>
            <w:rStyle w:val="Hyperlink"/>
            <w:b/>
          </w:rPr>
          <w:t xml:space="preserve"> Panel National Guidance</w:t>
        </w:r>
        <w:r w:rsidR="00633269" w:rsidRPr="00633269">
          <w:rPr>
            <w:rStyle w:val="Hyperlink"/>
            <w:b/>
          </w:rPr>
          <w:t xml:space="preserve"> website</w:t>
        </w:r>
      </w:hyperlink>
      <w:r w:rsidR="00A87ACF" w:rsidRPr="005A01BA">
        <w:rPr>
          <w:b/>
        </w:rPr>
        <w:t xml:space="preserve"> </w:t>
      </w:r>
    </w:p>
    <w:p w14:paraId="492ACBC8" w14:textId="4E9D54D8" w:rsidR="00A87ACF" w:rsidRPr="005A01BA" w:rsidRDefault="00E31D16" w:rsidP="00111093">
      <w:pPr>
        <w:rPr>
          <w:b/>
        </w:rPr>
      </w:pPr>
      <w:hyperlink r:id="rId24" w:history="1">
        <w:r w:rsidR="00A87ACF" w:rsidRPr="00633269">
          <w:rPr>
            <w:rStyle w:val="Hyperlink"/>
            <w:b/>
          </w:rPr>
          <w:t>Mental Health and behaviour in schools,</w:t>
        </w:r>
        <w:r w:rsidR="00633269" w:rsidRPr="00633269">
          <w:rPr>
            <w:rStyle w:val="Hyperlink"/>
            <w:b/>
          </w:rPr>
          <w:t xml:space="preserve"> Government advice website</w:t>
        </w:r>
      </w:hyperlink>
      <w:r w:rsidR="00A87ACF" w:rsidRPr="005A01BA">
        <w:rPr>
          <w:b/>
        </w:rPr>
        <w:t xml:space="preserve"> </w:t>
      </w:r>
    </w:p>
    <w:p w14:paraId="293F8CCC" w14:textId="713A6E96" w:rsidR="00A87ACF" w:rsidRDefault="00A87ACF">
      <w:pPr>
        <w:rPr>
          <w:b/>
        </w:rPr>
      </w:pPr>
    </w:p>
    <w:p w14:paraId="21EDEFD1" w14:textId="40DE777A" w:rsidR="00E37876" w:rsidRDefault="00E37876" w:rsidP="00E37876">
      <w:pPr>
        <w:pStyle w:val="Heading1"/>
        <w:spacing w:line="360" w:lineRule="auto"/>
      </w:pPr>
      <w:r>
        <w:lastRenderedPageBreak/>
        <w:t>Appendix</w:t>
      </w:r>
    </w:p>
    <w:p w14:paraId="5A28564F" w14:textId="48346800" w:rsidR="00E37876" w:rsidRPr="00E37876" w:rsidRDefault="00E37876" w:rsidP="00E37876">
      <w:pPr>
        <w:pStyle w:val="Heading2"/>
        <w:spacing w:line="360" w:lineRule="auto"/>
        <w:rPr>
          <w:rFonts w:eastAsia="Calibri"/>
          <w:lang w:val="en-GB"/>
        </w:rPr>
      </w:pPr>
      <w:r w:rsidRPr="00E37876">
        <w:rPr>
          <w:rFonts w:eastAsia="Calibri"/>
          <w:lang w:val="en-GB"/>
        </w:rPr>
        <w:t xml:space="preserve">Reasonable </w:t>
      </w:r>
      <w:r w:rsidR="00C82587">
        <w:rPr>
          <w:rFonts w:eastAsia="Calibri"/>
          <w:lang w:val="en-GB"/>
        </w:rPr>
        <w:t>a</w:t>
      </w:r>
      <w:r w:rsidRPr="00E37876">
        <w:rPr>
          <w:rFonts w:eastAsia="Calibri"/>
          <w:lang w:val="en-GB"/>
        </w:rPr>
        <w:t xml:space="preserve">djustments </w:t>
      </w:r>
      <w:r w:rsidR="00C82587">
        <w:rPr>
          <w:rFonts w:eastAsia="Calibri"/>
          <w:lang w:val="en-GB"/>
        </w:rPr>
        <w:t>r</w:t>
      </w:r>
      <w:r w:rsidRPr="00E37876">
        <w:rPr>
          <w:rFonts w:eastAsia="Calibri"/>
          <w:lang w:val="en-GB"/>
        </w:rPr>
        <w:t>ecord</w:t>
      </w:r>
      <w:r w:rsidR="00C82587">
        <w:rPr>
          <w:rFonts w:eastAsia="Calibri"/>
          <w:lang w:val="en-GB"/>
        </w:rPr>
        <w:t xml:space="preserve"> template</w:t>
      </w:r>
    </w:p>
    <w:p w14:paraId="5883FE59" w14:textId="43BA78A8" w:rsidR="00E37876" w:rsidRPr="00E37876" w:rsidRDefault="00E37876" w:rsidP="00E37876">
      <w:pPr>
        <w:widowControl/>
        <w:numPr>
          <w:ilvl w:val="0"/>
          <w:numId w:val="10"/>
        </w:numPr>
        <w:autoSpaceDE/>
        <w:autoSpaceDN/>
        <w:adjustRightInd/>
        <w:spacing w:before="0" w:beforeAutospacing="0" w:after="200" w:afterAutospacing="0"/>
        <w:rPr>
          <w:rFonts w:eastAsia="Calibri"/>
          <w:szCs w:val="24"/>
          <w:lang w:val="en-GB"/>
        </w:rPr>
      </w:pPr>
      <w:r w:rsidRPr="00E37876">
        <w:rPr>
          <w:rFonts w:eastAsia="Calibri"/>
          <w:szCs w:val="24"/>
          <w:lang w:val="en-GB"/>
        </w:rPr>
        <w:t>List all the options</w:t>
      </w:r>
      <w:r w:rsidR="00B96ED1">
        <w:rPr>
          <w:rFonts w:eastAsia="Calibri"/>
          <w:szCs w:val="24"/>
          <w:lang w:val="en-GB"/>
        </w:rPr>
        <w:t xml:space="preserve"> or </w:t>
      </w:r>
      <w:r w:rsidRPr="00E37876">
        <w:rPr>
          <w:rFonts w:eastAsia="Calibri"/>
          <w:szCs w:val="24"/>
          <w:lang w:val="en-GB"/>
        </w:rPr>
        <w:t>adjustments to enable inclusion. (All options should be documented even if not feasible).</w:t>
      </w:r>
    </w:p>
    <w:p w14:paraId="5AC17A84" w14:textId="7E07D57D" w:rsidR="00E37876" w:rsidRPr="00E37876" w:rsidRDefault="00E37876" w:rsidP="00E37876">
      <w:pPr>
        <w:widowControl/>
        <w:numPr>
          <w:ilvl w:val="0"/>
          <w:numId w:val="10"/>
        </w:numPr>
        <w:autoSpaceDE/>
        <w:autoSpaceDN/>
        <w:adjustRightInd/>
        <w:spacing w:before="0" w:beforeAutospacing="0" w:after="200" w:afterAutospacing="0"/>
        <w:rPr>
          <w:rFonts w:eastAsia="Calibri"/>
          <w:szCs w:val="24"/>
          <w:lang w:val="en-GB"/>
        </w:rPr>
      </w:pPr>
      <w:r w:rsidRPr="00E37876">
        <w:rPr>
          <w:rFonts w:eastAsia="Calibri"/>
          <w:szCs w:val="24"/>
          <w:lang w:val="en-GB"/>
        </w:rPr>
        <w:t xml:space="preserve">Benefits and </w:t>
      </w:r>
      <w:r w:rsidR="00B96ED1">
        <w:rPr>
          <w:rFonts w:eastAsia="Calibri"/>
          <w:szCs w:val="24"/>
          <w:lang w:val="en-GB"/>
        </w:rPr>
        <w:t>d</w:t>
      </w:r>
      <w:r w:rsidRPr="00E37876">
        <w:rPr>
          <w:rFonts w:eastAsia="Calibri"/>
          <w:szCs w:val="24"/>
          <w:lang w:val="en-GB"/>
        </w:rPr>
        <w:t>etriments of each option.</w:t>
      </w:r>
    </w:p>
    <w:p w14:paraId="4B860028" w14:textId="77777777" w:rsidR="00E37876" w:rsidRPr="00E37876" w:rsidRDefault="00E37876" w:rsidP="00E37876">
      <w:pPr>
        <w:widowControl/>
        <w:numPr>
          <w:ilvl w:val="0"/>
          <w:numId w:val="10"/>
        </w:numPr>
        <w:autoSpaceDE/>
        <w:autoSpaceDN/>
        <w:adjustRightInd/>
        <w:spacing w:before="0" w:beforeAutospacing="0" w:after="200" w:afterAutospacing="0"/>
        <w:rPr>
          <w:rFonts w:eastAsia="Calibri"/>
          <w:szCs w:val="24"/>
          <w:lang w:val="en-GB"/>
        </w:rPr>
      </w:pPr>
      <w:r w:rsidRPr="00E37876">
        <w:rPr>
          <w:rFonts w:eastAsia="Calibri"/>
          <w:szCs w:val="24"/>
          <w:lang w:val="en-GB"/>
        </w:rPr>
        <w:t>Decision of feasibility.</w:t>
      </w:r>
    </w:p>
    <w:p w14:paraId="6EC0CF14" w14:textId="77777777" w:rsidR="00E37876" w:rsidRPr="00E37876" w:rsidRDefault="00E37876" w:rsidP="00E37876">
      <w:pPr>
        <w:widowControl/>
        <w:numPr>
          <w:ilvl w:val="0"/>
          <w:numId w:val="10"/>
        </w:numPr>
        <w:autoSpaceDE/>
        <w:autoSpaceDN/>
        <w:adjustRightInd/>
        <w:spacing w:before="0" w:beforeAutospacing="0" w:after="200" w:afterAutospacing="0"/>
        <w:rPr>
          <w:rFonts w:eastAsia="Calibri"/>
          <w:szCs w:val="24"/>
          <w:lang w:val="en-GB"/>
        </w:rPr>
      </w:pPr>
      <w:r w:rsidRPr="00E37876">
        <w:rPr>
          <w:rFonts w:eastAsia="Calibri"/>
          <w:szCs w:val="24"/>
          <w:lang w:val="en-GB"/>
        </w:rPr>
        <w:t>Discuss decision with the Head Teacher who will make the final decision based on the evidence.</w:t>
      </w:r>
    </w:p>
    <w:p w14:paraId="75D51638" w14:textId="7F7D7B70" w:rsidR="00E37876" w:rsidRPr="00E37876" w:rsidRDefault="00E37876" w:rsidP="00E37876">
      <w:pPr>
        <w:widowControl/>
        <w:autoSpaceDE/>
        <w:autoSpaceDN/>
        <w:adjustRightInd/>
        <w:spacing w:before="0" w:beforeAutospacing="0" w:after="200" w:afterAutospacing="0"/>
        <w:rPr>
          <w:rFonts w:eastAsia="Calibri"/>
          <w:b/>
          <w:szCs w:val="24"/>
          <w:lang w:val="en-GB"/>
        </w:rPr>
      </w:pPr>
      <w:r w:rsidRPr="00E37876">
        <w:rPr>
          <w:rFonts w:eastAsia="Calibri"/>
          <w:b/>
          <w:szCs w:val="24"/>
          <w:lang w:val="en-GB"/>
        </w:rPr>
        <w:t>Situation</w:t>
      </w:r>
      <w:r w:rsidR="00CA07AE">
        <w:rPr>
          <w:rFonts w:eastAsia="Calibri"/>
          <w:b/>
          <w:szCs w:val="24"/>
          <w:lang w:val="en-GB"/>
        </w:rPr>
        <w:t>, c</w:t>
      </w:r>
      <w:r w:rsidRPr="00E37876">
        <w:rPr>
          <w:rFonts w:eastAsia="Calibri"/>
          <w:b/>
          <w:szCs w:val="24"/>
          <w:lang w:val="en-GB"/>
        </w:rPr>
        <w:t xml:space="preserve">oncerns: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693"/>
        <w:gridCol w:w="1928"/>
        <w:gridCol w:w="1864"/>
        <w:gridCol w:w="1487"/>
      </w:tblGrid>
      <w:tr w:rsidR="00B96ED1" w:rsidRPr="00E37876" w14:paraId="14DFB8CA" w14:textId="77777777" w:rsidTr="00841A55">
        <w:tc>
          <w:tcPr>
            <w:tcW w:w="3122" w:type="dxa"/>
            <w:shd w:val="clear" w:color="auto" w:fill="C6D9F1"/>
            <w:vAlign w:val="center"/>
          </w:tcPr>
          <w:p w14:paraId="0AC2482D" w14:textId="24DE9BFB" w:rsidR="00E37876" w:rsidRPr="00E37876" w:rsidRDefault="00E37876" w:rsidP="00E37876">
            <w:pPr>
              <w:widowControl/>
              <w:autoSpaceDE/>
              <w:autoSpaceDN/>
              <w:adjustRightInd/>
              <w:spacing w:before="0" w:beforeAutospacing="0" w:after="200" w:afterAutospacing="0"/>
              <w:jc w:val="center"/>
              <w:rPr>
                <w:rFonts w:eastAsia="Calibri"/>
                <w:b/>
                <w:szCs w:val="24"/>
                <w:lang w:val="en-GB"/>
              </w:rPr>
            </w:pPr>
            <w:r w:rsidRPr="00E37876">
              <w:rPr>
                <w:rFonts w:eastAsia="Calibri"/>
                <w:b/>
                <w:szCs w:val="24"/>
                <w:lang w:val="en-GB"/>
              </w:rPr>
              <w:t>Option</w:t>
            </w:r>
            <w:r w:rsidR="00B96ED1">
              <w:rPr>
                <w:rFonts w:eastAsia="Calibri"/>
                <w:b/>
                <w:szCs w:val="24"/>
                <w:lang w:val="en-GB"/>
              </w:rPr>
              <w:t xml:space="preserve"> or </w:t>
            </w:r>
            <w:r w:rsidRPr="00E37876">
              <w:rPr>
                <w:rFonts w:eastAsia="Calibri"/>
                <w:b/>
                <w:szCs w:val="24"/>
                <w:lang w:val="en-GB"/>
              </w:rPr>
              <w:t xml:space="preserve">Adjustments </w:t>
            </w:r>
          </w:p>
        </w:tc>
        <w:tc>
          <w:tcPr>
            <w:tcW w:w="3123" w:type="dxa"/>
            <w:shd w:val="clear" w:color="auto" w:fill="C6D9F1"/>
            <w:vAlign w:val="center"/>
          </w:tcPr>
          <w:p w14:paraId="5A579421" w14:textId="77777777" w:rsidR="00E37876" w:rsidRPr="00E37876" w:rsidRDefault="00E37876" w:rsidP="00E37876">
            <w:pPr>
              <w:widowControl/>
              <w:autoSpaceDE/>
              <w:autoSpaceDN/>
              <w:adjustRightInd/>
              <w:spacing w:before="0" w:beforeAutospacing="0" w:after="200" w:afterAutospacing="0"/>
              <w:jc w:val="center"/>
              <w:rPr>
                <w:rFonts w:eastAsia="Calibri"/>
                <w:b/>
                <w:szCs w:val="24"/>
                <w:lang w:val="en-GB"/>
              </w:rPr>
            </w:pPr>
            <w:r w:rsidRPr="00E37876">
              <w:rPr>
                <w:rFonts w:eastAsia="Calibri"/>
                <w:b/>
                <w:szCs w:val="24"/>
                <w:lang w:val="en-GB"/>
              </w:rPr>
              <w:t xml:space="preserve">Benefits of Option </w:t>
            </w:r>
          </w:p>
        </w:tc>
        <w:tc>
          <w:tcPr>
            <w:tcW w:w="3123" w:type="dxa"/>
            <w:shd w:val="clear" w:color="auto" w:fill="C6D9F1"/>
            <w:vAlign w:val="center"/>
          </w:tcPr>
          <w:p w14:paraId="6CDA8F27" w14:textId="77777777" w:rsidR="00E37876" w:rsidRPr="00E37876" w:rsidRDefault="00E37876" w:rsidP="00E37876">
            <w:pPr>
              <w:widowControl/>
              <w:autoSpaceDE/>
              <w:autoSpaceDN/>
              <w:adjustRightInd/>
              <w:spacing w:before="0" w:beforeAutospacing="0" w:after="200" w:afterAutospacing="0"/>
              <w:jc w:val="center"/>
              <w:rPr>
                <w:rFonts w:eastAsia="Calibri"/>
                <w:b/>
                <w:szCs w:val="24"/>
                <w:lang w:val="en-GB"/>
              </w:rPr>
            </w:pPr>
            <w:r w:rsidRPr="00E37876">
              <w:rPr>
                <w:rFonts w:eastAsia="Calibri"/>
                <w:b/>
                <w:szCs w:val="24"/>
                <w:lang w:val="en-GB"/>
              </w:rPr>
              <w:t xml:space="preserve">Detriments of Option </w:t>
            </w:r>
          </w:p>
        </w:tc>
        <w:tc>
          <w:tcPr>
            <w:tcW w:w="3123" w:type="dxa"/>
            <w:shd w:val="clear" w:color="auto" w:fill="C6D9F1"/>
            <w:vAlign w:val="center"/>
          </w:tcPr>
          <w:p w14:paraId="17B2AADB" w14:textId="77777777" w:rsidR="00E37876" w:rsidRPr="00E37876" w:rsidRDefault="00E37876" w:rsidP="00E37876">
            <w:pPr>
              <w:widowControl/>
              <w:autoSpaceDE/>
              <w:autoSpaceDN/>
              <w:adjustRightInd/>
              <w:spacing w:before="0" w:beforeAutospacing="0" w:after="200" w:afterAutospacing="0"/>
              <w:jc w:val="center"/>
              <w:rPr>
                <w:rFonts w:eastAsia="Calibri"/>
                <w:b/>
                <w:szCs w:val="24"/>
                <w:lang w:val="en-GB"/>
              </w:rPr>
            </w:pPr>
            <w:r w:rsidRPr="00E37876">
              <w:rPr>
                <w:rFonts w:eastAsia="Calibri"/>
                <w:b/>
                <w:szCs w:val="24"/>
                <w:lang w:val="en-GB"/>
              </w:rPr>
              <w:t>Decision of Feasibility</w:t>
            </w:r>
          </w:p>
        </w:tc>
        <w:tc>
          <w:tcPr>
            <w:tcW w:w="3123" w:type="dxa"/>
            <w:shd w:val="clear" w:color="auto" w:fill="C6D9F1"/>
            <w:vAlign w:val="center"/>
          </w:tcPr>
          <w:p w14:paraId="3C514563" w14:textId="77777777" w:rsidR="00E37876" w:rsidRPr="00E37876" w:rsidRDefault="00E37876" w:rsidP="00E37876">
            <w:pPr>
              <w:widowControl/>
              <w:autoSpaceDE/>
              <w:autoSpaceDN/>
              <w:adjustRightInd/>
              <w:spacing w:before="0" w:beforeAutospacing="0" w:after="200" w:afterAutospacing="0"/>
              <w:jc w:val="center"/>
              <w:rPr>
                <w:rFonts w:eastAsia="Calibri"/>
                <w:b/>
                <w:szCs w:val="24"/>
                <w:lang w:val="en-GB"/>
              </w:rPr>
            </w:pPr>
            <w:r w:rsidRPr="00E37876">
              <w:rPr>
                <w:rFonts w:eastAsia="Calibri"/>
                <w:b/>
                <w:szCs w:val="24"/>
                <w:lang w:val="en-GB"/>
              </w:rPr>
              <w:t xml:space="preserve">Notes </w:t>
            </w:r>
          </w:p>
        </w:tc>
      </w:tr>
      <w:tr w:rsidR="00E37876" w:rsidRPr="00E37876" w14:paraId="63ADEBD6" w14:textId="77777777" w:rsidTr="00841A55">
        <w:tc>
          <w:tcPr>
            <w:tcW w:w="3122" w:type="dxa"/>
            <w:shd w:val="clear" w:color="auto" w:fill="auto"/>
          </w:tcPr>
          <w:p w14:paraId="65C0DE58"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331EC251"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3E1169EE"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3D199465"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195EC4BB"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r>
      <w:tr w:rsidR="00E37876" w:rsidRPr="00E37876" w14:paraId="23938400" w14:textId="77777777" w:rsidTr="00841A55">
        <w:tc>
          <w:tcPr>
            <w:tcW w:w="3122" w:type="dxa"/>
            <w:shd w:val="clear" w:color="auto" w:fill="auto"/>
          </w:tcPr>
          <w:p w14:paraId="223D4989"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243AC99D"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7E555264"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2A46B5AC"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75B45E53"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r>
      <w:tr w:rsidR="00E37876" w:rsidRPr="00E37876" w14:paraId="7D36E781" w14:textId="77777777" w:rsidTr="00841A55">
        <w:tc>
          <w:tcPr>
            <w:tcW w:w="3122" w:type="dxa"/>
            <w:shd w:val="clear" w:color="auto" w:fill="auto"/>
          </w:tcPr>
          <w:p w14:paraId="6D3BB290"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263E31DB"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3B0B55A2"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3CE0EEBC"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1C3375B2"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r>
      <w:tr w:rsidR="00E37876" w:rsidRPr="00E37876" w14:paraId="65E1C88A" w14:textId="77777777" w:rsidTr="00841A55">
        <w:tc>
          <w:tcPr>
            <w:tcW w:w="3122" w:type="dxa"/>
            <w:shd w:val="clear" w:color="auto" w:fill="auto"/>
          </w:tcPr>
          <w:p w14:paraId="3E5C48C2"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75600EEB"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0129426A"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26E5857F"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4E3F1A53"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r>
      <w:tr w:rsidR="00E37876" w:rsidRPr="00E37876" w14:paraId="46D99F60" w14:textId="77777777" w:rsidTr="00841A55">
        <w:tc>
          <w:tcPr>
            <w:tcW w:w="3122" w:type="dxa"/>
            <w:shd w:val="clear" w:color="auto" w:fill="auto"/>
          </w:tcPr>
          <w:p w14:paraId="21D74B53"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5B7165EC"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28600679"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06E50D7A"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1C42B9AB"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r>
      <w:tr w:rsidR="00E37876" w:rsidRPr="00E37876" w14:paraId="622EDE24" w14:textId="77777777" w:rsidTr="00841A55">
        <w:tc>
          <w:tcPr>
            <w:tcW w:w="3122" w:type="dxa"/>
            <w:shd w:val="clear" w:color="auto" w:fill="auto"/>
          </w:tcPr>
          <w:p w14:paraId="25C3FFF1"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6B3E80C3"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57DEAC3A"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148222C9"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5F7D3A35"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r>
      <w:tr w:rsidR="00E37876" w:rsidRPr="00E37876" w14:paraId="6B3175AE" w14:textId="77777777" w:rsidTr="00841A55">
        <w:tc>
          <w:tcPr>
            <w:tcW w:w="3122" w:type="dxa"/>
            <w:shd w:val="clear" w:color="auto" w:fill="auto"/>
          </w:tcPr>
          <w:p w14:paraId="3B0CF195"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7A9CA72F"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66C6AFE8"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6F573E9B"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0109ACA9"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r>
      <w:tr w:rsidR="00E37876" w:rsidRPr="00E37876" w14:paraId="6E5673A9" w14:textId="77777777" w:rsidTr="00841A55">
        <w:tc>
          <w:tcPr>
            <w:tcW w:w="3122" w:type="dxa"/>
            <w:shd w:val="clear" w:color="auto" w:fill="auto"/>
          </w:tcPr>
          <w:p w14:paraId="637C8D72"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3C4B2FBF"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2B738A5B"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0A8F81FB"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3E7A2126"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r>
      <w:tr w:rsidR="00E37876" w:rsidRPr="00E37876" w14:paraId="2994F3DA" w14:textId="77777777" w:rsidTr="00841A55">
        <w:tc>
          <w:tcPr>
            <w:tcW w:w="3122" w:type="dxa"/>
            <w:shd w:val="clear" w:color="auto" w:fill="auto"/>
          </w:tcPr>
          <w:p w14:paraId="05A017D4"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69BED630"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592BD5CA"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01B584DF"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c>
          <w:tcPr>
            <w:tcW w:w="3123" w:type="dxa"/>
            <w:shd w:val="clear" w:color="auto" w:fill="auto"/>
          </w:tcPr>
          <w:p w14:paraId="2BB7145D" w14:textId="77777777" w:rsidR="00E37876" w:rsidRPr="00E37876" w:rsidRDefault="00E37876" w:rsidP="00E37876">
            <w:pPr>
              <w:widowControl/>
              <w:autoSpaceDE/>
              <w:autoSpaceDN/>
              <w:adjustRightInd/>
              <w:spacing w:before="0" w:beforeAutospacing="0" w:after="200" w:afterAutospacing="0"/>
              <w:rPr>
                <w:rFonts w:eastAsia="Calibri"/>
                <w:szCs w:val="24"/>
                <w:lang w:val="en-GB"/>
              </w:rPr>
            </w:pPr>
          </w:p>
        </w:tc>
      </w:tr>
    </w:tbl>
    <w:p w14:paraId="525BC84A" w14:textId="77777777" w:rsidR="00E37876" w:rsidRPr="00E37876" w:rsidRDefault="00E37876" w:rsidP="00E37876">
      <w:pPr>
        <w:widowControl/>
        <w:autoSpaceDE/>
        <w:autoSpaceDN/>
        <w:adjustRightInd/>
        <w:spacing w:before="0" w:beforeAutospacing="0" w:after="200" w:afterAutospacing="0"/>
        <w:rPr>
          <w:rFonts w:eastAsia="Calibri"/>
          <w:b/>
          <w:szCs w:val="24"/>
          <w:lang w:val="en-GB"/>
        </w:rPr>
      </w:pPr>
    </w:p>
    <w:p w14:paraId="261F8D69" w14:textId="77777777" w:rsidR="00E37876" w:rsidRPr="00E37876" w:rsidRDefault="00E37876" w:rsidP="00E37876">
      <w:pPr>
        <w:widowControl/>
        <w:autoSpaceDE/>
        <w:autoSpaceDN/>
        <w:adjustRightInd/>
        <w:spacing w:before="0" w:beforeAutospacing="0" w:after="200" w:afterAutospacing="0"/>
        <w:rPr>
          <w:rFonts w:eastAsia="Calibri"/>
          <w:b/>
          <w:szCs w:val="24"/>
          <w:lang w:val="en-GB"/>
        </w:rPr>
      </w:pPr>
      <w:r w:rsidRPr="00E37876">
        <w:rPr>
          <w:rFonts w:eastAsia="Calibri"/>
          <w:b/>
          <w:szCs w:val="24"/>
          <w:lang w:val="en-GB"/>
        </w:rPr>
        <w:lastRenderedPageBreak/>
        <w:t xml:space="preserve">Outcome: </w:t>
      </w:r>
    </w:p>
    <w:p w14:paraId="6238E058" w14:textId="2D544C66" w:rsidR="00B96ED1" w:rsidRDefault="00E37876" w:rsidP="00E37876">
      <w:pPr>
        <w:widowControl/>
        <w:autoSpaceDE/>
        <w:autoSpaceDN/>
        <w:adjustRightInd/>
        <w:spacing w:before="0" w:beforeAutospacing="0" w:after="200" w:afterAutospacing="0"/>
        <w:rPr>
          <w:rFonts w:eastAsia="Calibri"/>
          <w:szCs w:val="24"/>
          <w:lang w:val="en-GB"/>
        </w:rPr>
      </w:pPr>
      <w:r w:rsidRPr="00E37876">
        <w:rPr>
          <w:rFonts w:eastAsia="Calibri"/>
          <w:szCs w:val="24"/>
          <w:lang w:val="en-GB"/>
        </w:rPr>
        <w:t>Visit Leader Signature:</w:t>
      </w:r>
      <w:r w:rsidR="00B96ED1">
        <w:rPr>
          <w:rFonts w:eastAsia="Calibri"/>
          <w:szCs w:val="24"/>
          <w:lang w:val="en-GB"/>
        </w:rPr>
        <w:tab/>
      </w:r>
      <w:r w:rsidR="00B96ED1">
        <w:rPr>
          <w:rFonts w:eastAsia="Calibri"/>
          <w:szCs w:val="24"/>
          <w:lang w:val="en-GB"/>
        </w:rPr>
        <w:tab/>
      </w:r>
      <w:r w:rsidR="00B96ED1">
        <w:rPr>
          <w:rFonts w:eastAsia="Calibri"/>
          <w:szCs w:val="24"/>
          <w:lang w:val="en-GB"/>
        </w:rPr>
        <w:tab/>
      </w:r>
      <w:r w:rsidR="00B96ED1">
        <w:rPr>
          <w:rFonts w:eastAsia="Calibri"/>
          <w:szCs w:val="24"/>
          <w:lang w:val="en-GB"/>
        </w:rPr>
        <w:tab/>
      </w:r>
      <w:r w:rsidR="00B96ED1">
        <w:rPr>
          <w:rFonts w:eastAsia="Calibri"/>
          <w:szCs w:val="24"/>
          <w:lang w:val="en-GB"/>
        </w:rPr>
        <w:tab/>
      </w:r>
      <w:r w:rsidRPr="00E37876">
        <w:rPr>
          <w:rFonts w:eastAsia="Calibri"/>
          <w:szCs w:val="24"/>
          <w:lang w:val="en-GB"/>
        </w:rPr>
        <w:t>Date</w:t>
      </w:r>
    </w:p>
    <w:p w14:paraId="2380B669" w14:textId="2712C960" w:rsidR="00E37876" w:rsidRPr="00E37876" w:rsidRDefault="00E37876" w:rsidP="00E37876">
      <w:pPr>
        <w:widowControl/>
        <w:autoSpaceDE/>
        <w:autoSpaceDN/>
        <w:adjustRightInd/>
        <w:spacing w:before="0" w:beforeAutospacing="0" w:after="200" w:afterAutospacing="0"/>
        <w:rPr>
          <w:rFonts w:eastAsia="Calibri"/>
          <w:szCs w:val="24"/>
          <w:lang w:val="en-GB"/>
        </w:rPr>
      </w:pPr>
      <w:r w:rsidRPr="00E37876">
        <w:rPr>
          <w:rFonts w:eastAsia="Calibri"/>
          <w:szCs w:val="24"/>
          <w:lang w:val="en-GB"/>
        </w:rPr>
        <w:t>Head Teacher Sig</w:t>
      </w:r>
      <w:r w:rsidR="00B96ED1">
        <w:rPr>
          <w:rFonts w:eastAsia="Calibri"/>
          <w:szCs w:val="24"/>
          <w:lang w:val="en-GB"/>
        </w:rPr>
        <w:t xml:space="preserve">nature: </w:t>
      </w:r>
      <w:r w:rsidR="00B96ED1">
        <w:rPr>
          <w:rFonts w:eastAsia="Calibri"/>
          <w:szCs w:val="24"/>
          <w:lang w:val="en-GB"/>
        </w:rPr>
        <w:tab/>
      </w:r>
      <w:r w:rsidR="00B96ED1">
        <w:rPr>
          <w:rFonts w:eastAsia="Calibri"/>
          <w:szCs w:val="24"/>
          <w:lang w:val="en-GB"/>
        </w:rPr>
        <w:tab/>
      </w:r>
      <w:r w:rsidR="00B96ED1">
        <w:rPr>
          <w:rFonts w:eastAsia="Calibri"/>
          <w:szCs w:val="24"/>
          <w:lang w:val="en-GB"/>
        </w:rPr>
        <w:tab/>
      </w:r>
      <w:r w:rsidR="00B96ED1">
        <w:rPr>
          <w:rFonts w:eastAsia="Calibri"/>
          <w:szCs w:val="24"/>
          <w:lang w:val="en-GB"/>
        </w:rPr>
        <w:tab/>
      </w:r>
      <w:r w:rsidR="00B96ED1">
        <w:rPr>
          <w:rFonts w:eastAsia="Calibri"/>
          <w:szCs w:val="24"/>
          <w:lang w:val="en-GB"/>
        </w:rPr>
        <w:tab/>
      </w:r>
      <w:r w:rsidRPr="00E37876">
        <w:rPr>
          <w:rFonts w:eastAsia="Calibri"/>
          <w:szCs w:val="24"/>
          <w:lang w:val="en-GB"/>
        </w:rPr>
        <w:t>Date</w:t>
      </w:r>
    </w:p>
    <w:p w14:paraId="0AA137CF" w14:textId="77777777" w:rsidR="00E37876" w:rsidRPr="00E37876" w:rsidRDefault="00E37876">
      <w:pPr>
        <w:rPr>
          <w:b/>
          <w:szCs w:val="24"/>
        </w:rPr>
      </w:pPr>
    </w:p>
    <w:p w14:paraId="61A6E191" w14:textId="77777777" w:rsidR="00E37876" w:rsidRPr="00A87ACF" w:rsidRDefault="00E37876">
      <w:pPr>
        <w:rPr>
          <w:b/>
        </w:rPr>
      </w:pPr>
    </w:p>
    <w:sectPr w:rsidR="00E37876" w:rsidRPr="00A87ACF" w:rsidSect="00FB1121">
      <w:footerReference w:type="default" r:id="rId25"/>
      <w:pgSz w:w="11904" w:h="16838"/>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AA8D" w14:textId="77777777" w:rsidR="00C87352" w:rsidRDefault="00C87352" w:rsidP="00316FD4">
      <w:r>
        <w:separator/>
      </w:r>
    </w:p>
  </w:endnote>
  <w:endnote w:type="continuationSeparator" w:id="0">
    <w:p w14:paraId="0C4FD1F2" w14:textId="77777777" w:rsidR="00C87352" w:rsidRDefault="00C87352" w:rsidP="00316FD4">
      <w:r>
        <w:continuationSeparator/>
      </w:r>
    </w:p>
  </w:endnote>
  <w:endnote w:type="continuationNotice" w:id="1">
    <w:p w14:paraId="0DE09E33" w14:textId="77777777" w:rsidR="0094079B" w:rsidRDefault="009407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260733"/>
      <w:docPartObj>
        <w:docPartGallery w:val="Page Numbers (Bottom of Page)"/>
        <w:docPartUnique/>
      </w:docPartObj>
    </w:sdtPr>
    <w:sdtEndPr/>
    <w:sdtContent>
      <w:sdt>
        <w:sdtPr>
          <w:id w:val="1947812515"/>
          <w:docPartObj>
            <w:docPartGallery w:val="Page Numbers (Top of Page)"/>
            <w:docPartUnique/>
          </w:docPartObj>
        </w:sdtPr>
        <w:sdtEndPr/>
        <w:sdtContent>
          <w:p w14:paraId="6471A069" w14:textId="77777777" w:rsidR="003A2848" w:rsidRPr="003A2848" w:rsidRDefault="003A2848" w:rsidP="003A2848">
            <w:pPr>
              <w:tabs>
                <w:tab w:val="center" w:pos="4153"/>
                <w:tab w:val="right" w:pos="8306"/>
              </w:tabs>
              <w:jc w:val="right"/>
            </w:pPr>
            <w:r w:rsidRPr="003A2848">
              <w:t xml:space="preserve">Page </w:t>
            </w:r>
            <w:r w:rsidRPr="003A2848">
              <w:rPr>
                <w:b/>
                <w:bCs/>
                <w:szCs w:val="24"/>
              </w:rPr>
              <w:fldChar w:fldCharType="begin"/>
            </w:r>
            <w:r w:rsidRPr="003A2848">
              <w:rPr>
                <w:b/>
                <w:bCs/>
              </w:rPr>
              <w:instrText xml:space="preserve"> PAGE </w:instrText>
            </w:r>
            <w:r w:rsidRPr="003A2848">
              <w:rPr>
                <w:b/>
                <w:bCs/>
                <w:szCs w:val="24"/>
              </w:rPr>
              <w:fldChar w:fldCharType="separate"/>
            </w:r>
            <w:r w:rsidRPr="003A2848">
              <w:rPr>
                <w:b/>
                <w:bCs/>
                <w:szCs w:val="24"/>
              </w:rPr>
              <w:t>2</w:t>
            </w:r>
            <w:r w:rsidRPr="003A2848">
              <w:rPr>
                <w:b/>
                <w:bCs/>
                <w:szCs w:val="24"/>
              </w:rPr>
              <w:fldChar w:fldCharType="end"/>
            </w:r>
            <w:r w:rsidRPr="003A2848">
              <w:t xml:space="preserve"> of </w:t>
            </w:r>
            <w:r w:rsidRPr="003A2848">
              <w:rPr>
                <w:b/>
                <w:bCs/>
                <w:szCs w:val="24"/>
              </w:rPr>
              <w:fldChar w:fldCharType="begin"/>
            </w:r>
            <w:r w:rsidRPr="003A2848">
              <w:rPr>
                <w:b/>
                <w:bCs/>
              </w:rPr>
              <w:instrText xml:space="preserve"> NUMPAGES  </w:instrText>
            </w:r>
            <w:r w:rsidRPr="003A2848">
              <w:rPr>
                <w:b/>
                <w:bCs/>
                <w:szCs w:val="24"/>
              </w:rPr>
              <w:fldChar w:fldCharType="separate"/>
            </w:r>
            <w:r w:rsidRPr="003A2848">
              <w:rPr>
                <w:b/>
                <w:bCs/>
                <w:szCs w:val="24"/>
              </w:rPr>
              <w:t>20</w:t>
            </w:r>
            <w:r w:rsidRPr="003A2848">
              <w:rPr>
                <w:b/>
                <w:bCs/>
                <w:szCs w:val="24"/>
              </w:rPr>
              <w:fldChar w:fldCharType="end"/>
            </w:r>
          </w:p>
        </w:sdtContent>
      </w:sdt>
    </w:sdtContent>
  </w:sdt>
  <w:p w14:paraId="60DB4859" w14:textId="77777777" w:rsidR="003A2848" w:rsidRDefault="003A2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78373"/>
      <w:docPartObj>
        <w:docPartGallery w:val="Page Numbers (Bottom of Page)"/>
        <w:docPartUnique/>
      </w:docPartObj>
    </w:sdtPr>
    <w:sdtEndPr/>
    <w:sdtContent>
      <w:sdt>
        <w:sdtPr>
          <w:id w:val="50596177"/>
          <w:docPartObj>
            <w:docPartGallery w:val="Page Numbers (Top of Page)"/>
            <w:docPartUnique/>
          </w:docPartObj>
        </w:sdtPr>
        <w:sdtEndPr/>
        <w:sdtContent>
          <w:p w14:paraId="50EE18C7" w14:textId="77777777" w:rsidR="00B14D8C" w:rsidRPr="003A2848" w:rsidRDefault="00B14D8C" w:rsidP="00B14D8C">
            <w:pPr>
              <w:tabs>
                <w:tab w:val="center" w:pos="4153"/>
                <w:tab w:val="right" w:pos="8306"/>
              </w:tabs>
              <w:jc w:val="right"/>
            </w:pPr>
            <w:r w:rsidRPr="003A2848">
              <w:t xml:space="preserve">Page </w:t>
            </w:r>
            <w:r w:rsidRPr="003A2848">
              <w:rPr>
                <w:b/>
                <w:bCs/>
                <w:szCs w:val="24"/>
              </w:rPr>
              <w:fldChar w:fldCharType="begin"/>
            </w:r>
            <w:r w:rsidRPr="003A2848">
              <w:rPr>
                <w:b/>
                <w:bCs/>
              </w:rPr>
              <w:instrText xml:space="preserve"> PAGE </w:instrText>
            </w:r>
            <w:r w:rsidRPr="003A2848">
              <w:rPr>
                <w:b/>
                <w:bCs/>
                <w:szCs w:val="24"/>
              </w:rPr>
              <w:fldChar w:fldCharType="separate"/>
            </w:r>
            <w:r>
              <w:rPr>
                <w:b/>
                <w:bCs/>
                <w:szCs w:val="24"/>
              </w:rPr>
              <w:t>6</w:t>
            </w:r>
            <w:r w:rsidRPr="003A2848">
              <w:rPr>
                <w:b/>
                <w:bCs/>
                <w:szCs w:val="24"/>
              </w:rPr>
              <w:fldChar w:fldCharType="end"/>
            </w:r>
            <w:r w:rsidRPr="003A2848">
              <w:t xml:space="preserve"> of </w:t>
            </w:r>
            <w:r w:rsidRPr="003A2848">
              <w:rPr>
                <w:b/>
                <w:bCs/>
                <w:szCs w:val="24"/>
              </w:rPr>
              <w:fldChar w:fldCharType="begin"/>
            </w:r>
            <w:r w:rsidRPr="003A2848">
              <w:rPr>
                <w:b/>
                <w:bCs/>
              </w:rPr>
              <w:instrText xml:space="preserve"> NUMPAGES  </w:instrText>
            </w:r>
            <w:r w:rsidRPr="003A2848">
              <w:rPr>
                <w:b/>
                <w:bCs/>
                <w:szCs w:val="24"/>
              </w:rPr>
              <w:fldChar w:fldCharType="separate"/>
            </w:r>
            <w:r>
              <w:rPr>
                <w:b/>
                <w:bCs/>
                <w:szCs w:val="24"/>
              </w:rPr>
              <w:t>7</w:t>
            </w:r>
            <w:r w:rsidRPr="003A2848">
              <w:rPr>
                <w:b/>
                <w:bCs/>
                <w:szCs w:val="24"/>
              </w:rPr>
              <w:fldChar w:fldCharType="end"/>
            </w:r>
          </w:p>
        </w:sdtContent>
      </w:sdt>
    </w:sdtContent>
  </w:sdt>
  <w:p w14:paraId="6249780D" w14:textId="77777777" w:rsidR="00B14D8C" w:rsidRDefault="00B14D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114705"/>
      <w:docPartObj>
        <w:docPartGallery w:val="Page Numbers (Bottom of Page)"/>
        <w:docPartUnique/>
      </w:docPartObj>
    </w:sdtPr>
    <w:sdtEndPr/>
    <w:sdtContent>
      <w:sdt>
        <w:sdtPr>
          <w:id w:val="-1769616900"/>
          <w:docPartObj>
            <w:docPartGallery w:val="Page Numbers (Top of Page)"/>
            <w:docPartUnique/>
          </w:docPartObj>
        </w:sdtPr>
        <w:sdtEndPr/>
        <w:sdtContent>
          <w:p w14:paraId="29DDCB3E" w14:textId="77777777" w:rsidR="008320B0" w:rsidRDefault="008320B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CACE75" w14:textId="77777777" w:rsidR="00FB1121" w:rsidRDefault="00FB1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FE1A8" w14:textId="77777777" w:rsidR="00C87352" w:rsidRDefault="00C87352" w:rsidP="00316FD4">
      <w:r>
        <w:separator/>
      </w:r>
    </w:p>
  </w:footnote>
  <w:footnote w:type="continuationSeparator" w:id="0">
    <w:p w14:paraId="52419001" w14:textId="77777777" w:rsidR="00C87352" w:rsidRDefault="00C87352" w:rsidP="00316FD4">
      <w:r>
        <w:continuationSeparator/>
      </w:r>
    </w:p>
  </w:footnote>
  <w:footnote w:type="continuationNotice" w:id="1">
    <w:p w14:paraId="0F2927AB" w14:textId="77777777" w:rsidR="0094079B" w:rsidRDefault="0094079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63F"/>
    <w:multiLevelType w:val="hybridMultilevel"/>
    <w:tmpl w:val="BC5E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A33B4"/>
    <w:multiLevelType w:val="hybridMultilevel"/>
    <w:tmpl w:val="8FCC2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A3684"/>
    <w:multiLevelType w:val="hybridMultilevel"/>
    <w:tmpl w:val="FE324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F2903"/>
    <w:multiLevelType w:val="hybridMultilevel"/>
    <w:tmpl w:val="1872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A66CE"/>
    <w:multiLevelType w:val="hybridMultilevel"/>
    <w:tmpl w:val="7E1C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15FEE"/>
    <w:multiLevelType w:val="hybridMultilevel"/>
    <w:tmpl w:val="F7F8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CC4E89"/>
    <w:multiLevelType w:val="hybridMultilevel"/>
    <w:tmpl w:val="0964B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850E0"/>
    <w:multiLevelType w:val="hybridMultilevel"/>
    <w:tmpl w:val="C2E4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4C780A"/>
    <w:multiLevelType w:val="hybridMultilevel"/>
    <w:tmpl w:val="BA72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62C79"/>
    <w:multiLevelType w:val="hybridMultilevel"/>
    <w:tmpl w:val="CFA6C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9819566">
    <w:abstractNumId w:val="7"/>
  </w:num>
  <w:num w:numId="2" w16cid:durableId="1186558884">
    <w:abstractNumId w:val="1"/>
  </w:num>
  <w:num w:numId="3" w16cid:durableId="201483675">
    <w:abstractNumId w:val="2"/>
  </w:num>
  <w:num w:numId="4" w16cid:durableId="1003313437">
    <w:abstractNumId w:val="4"/>
  </w:num>
  <w:num w:numId="5" w16cid:durableId="2105563871">
    <w:abstractNumId w:val="6"/>
  </w:num>
  <w:num w:numId="6" w16cid:durableId="1803619156">
    <w:abstractNumId w:val="5"/>
  </w:num>
  <w:num w:numId="7" w16cid:durableId="1151141457">
    <w:abstractNumId w:val="0"/>
  </w:num>
  <w:num w:numId="8" w16cid:durableId="1168448618">
    <w:abstractNumId w:val="3"/>
  </w:num>
  <w:num w:numId="9" w16cid:durableId="1483696144">
    <w:abstractNumId w:val="8"/>
  </w:num>
  <w:num w:numId="10" w16cid:durableId="12434166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52"/>
    <w:rsid w:val="0003649E"/>
    <w:rsid w:val="00053FF0"/>
    <w:rsid w:val="000A04D5"/>
    <w:rsid w:val="000C4C7A"/>
    <w:rsid w:val="000F1C60"/>
    <w:rsid w:val="0010305E"/>
    <w:rsid w:val="00111093"/>
    <w:rsid w:val="00120B7F"/>
    <w:rsid w:val="0017040D"/>
    <w:rsid w:val="001711BE"/>
    <w:rsid w:val="001A3719"/>
    <w:rsid w:val="002424A7"/>
    <w:rsid w:val="002555D7"/>
    <w:rsid w:val="00282659"/>
    <w:rsid w:val="00292C93"/>
    <w:rsid w:val="002C15D4"/>
    <w:rsid w:val="00316FD4"/>
    <w:rsid w:val="003245BB"/>
    <w:rsid w:val="00357570"/>
    <w:rsid w:val="003673B1"/>
    <w:rsid w:val="0037096F"/>
    <w:rsid w:val="00393D26"/>
    <w:rsid w:val="003A2848"/>
    <w:rsid w:val="003A5611"/>
    <w:rsid w:val="003A5CBF"/>
    <w:rsid w:val="003B6408"/>
    <w:rsid w:val="003C036F"/>
    <w:rsid w:val="003E749D"/>
    <w:rsid w:val="004D7564"/>
    <w:rsid w:val="00506CA9"/>
    <w:rsid w:val="00572711"/>
    <w:rsid w:val="005A01BA"/>
    <w:rsid w:val="005A5740"/>
    <w:rsid w:val="005B0043"/>
    <w:rsid w:val="005C6970"/>
    <w:rsid w:val="005E036B"/>
    <w:rsid w:val="006315C0"/>
    <w:rsid w:val="00633269"/>
    <w:rsid w:val="006519AF"/>
    <w:rsid w:val="006B487D"/>
    <w:rsid w:val="006F60BE"/>
    <w:rsid w:val="007028FE"/>
    <w:rsid w:val="007029AA"/>
    <w:rsid w:val="007037DA"/>
    <w:rsid w:val="0075286C"/>
    <w:rsid w:val="007612F6"/>
    <w:rsid w:val="00761985"/>
    <w:rsid w:val="0078352A"/>
    <w:rsid w:val="007E0FD6"/>
    <w:rsid w:val="00804C67"/>
    <w:rsid w:val="00823A74"/>
    <w:rsid w:val="008320B0"/>
    <w:rsid w:val="00841757"/>
    <w:rsid w:val="00853468"/>
    <w:rsid w:val="008A31E0"/>
    <w:rsid w:val="008B6E2A"/>
    <w:rsid w:val="0094079B"/>
    <w:rsid w:val="0095103F"/>
    <w:rsid w:val="009516EC"/>
    <w:rsid w:val="00984455"/>
    <w:rsid w:val="009D1115"/>
    <w:rsid w:val="00A06BC8"/>
    <w:rsid w:val="00A5244F"/>
    <w:rsid w:val="00A57482"/>
    <w:rsid w:val="00A6137B"/>
    <w:rsid w:val="00A87ACF"/>
    <w:rsid w:val="00AA32A4"/>
    <w:rsid w:val="00AA35B5"/>
    <w:rsid w:val="00AB0540"/>
    <w:rsid w:val="00AD7B20"/>
    <w:rsid w:val="00B0559D"/>
    <w:rsid w:val="00B14D8C"/>
    <w:rsid w:val="00B75715"/>
    <w:rsid w:val="00B96ED1"/>
    <w:rsid w:val="00BD56F1"/>
    <w:rsid w:val="00BF7F89"/>
    <w:rsid w:val="00C009C7"/>
    <w:rsid w:val="00C11D64"/>
    <w:rsid w:val="00C26813"/>
    <w:rsid w:val="00C362AF"/>
    <w:rsid w:val="00C81710"/>
    <w:rsid w:val="00C82587"/>
    <w:rsid w:val="00C87352"/>
    <w:rsid w:val="00CA07AE"/>
    <w:rsid w:val="00CC3309"/>
    <w:rsid w:val="00CD171D"/>
    <w:rsid w:val="00CD36F7"/>
    <w:rsid w:val="00CD45BF"/>
    <w:rsid w:val="00D03EB5"/>
    <w:rsid w:val="00D21EDB"/>
    <w:rsid w:val="00D521FD"/>
    <w:rsid w:val="00D631EA"/>
    <w:rsid w:val="00DC53AD"/>
    <w:rsid w:val="00DF3990"/>
    <w:rsid w:val="00E31D16"/>
    <w:rsid w:val="00E37876"/>
    <w:rsid w:val="00EE2F03"/>
    <w:rsid w:val="00EE7926"/>
    <w:rsid w:val="00F57C87"/>
    <w:rsid w:val="00FA2B17"/>
    <w:rsid w:val="00FB01B5"/>
    <w:rsid w:val="00FB1121"/>
    <w:rsid w:val="00FD7975"/>
    <w:rsid w:val="00FF3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7A0AC"/>
  <w15:docId w15:val="{44980F9A-8401-4123-9B90-232F31C4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0B0"/>
    <w:pPr>
      <w:widowControl w:val="0"/>
      <w:autoSpaceDE w:val="0"/>
      <w:autoSpaceDN w:val="0"/>
      <w:adjustRightInd w:val="0"/>
      <w:spacing w:before="100" w:beforeAutospacing="1" w:after="100" w:afterAutospacing="1" w:line="360" w:lineRule="auto"/>
    </w:pPr>
    <w:rPr>
      <w:rFonts w:ascii="Trebuchet MS" w:hAnsi="Trebuchet MS"/>
      <w:sz w:val="24"/>
      <w:lang w:val="en-US" w:eastAsia="en-US"/>
    </w:rPr>
  </w:style>
  <w:style w:type="paragraph" w:styleId="Heading1">
    <w:name w:val="heading 1"/>
    <w:basedOn w:val="Normal"/>
    <w:next w:val="Normal"/>
    <w:link w:val="Heading1Char"/>
    <w:qFormat/>
    <w:rsid w:val="003E749D"/>
    <w:pPr>
      <w:spacing w:line="240" w:lineRule="auto"/>
      <w:outlineLvl w:val="0"/>
    </w:pPr>
    <w:rPr>
      <w:sz w:val="48"/>
      <w:szCs w:val="48"/>
    </w:rPr>
  </w:style>
  <w:style w:type="paragraph" w:styleId="Heading2">
    <w:name w:val="heading 2"/>
    <w:basedOn w:val="Normal"/>
    <w:next w:val="Normal"/>
    <w:link w:val="Heading2Char"/>
    <w:unhideWhenUsed/>
    <w:qFormat/>
    <w:rsid w:val="003E749D"/>
    <w:pPr>
      <w:keepNext/>
      <w:keepLines/>
      <w:spacing w:line="240" w:lineRule="auto"/>
      <w:outlineLvl w:val="1"/>
    </w:pPr>
    <w:rPr>
      <w:rFonts w:eastAsiaTheme="majorEastAsia" w:cstheme="majorBidi"/>
      <w:sz w:val="36"/>
      <w:szCs w:val="26"/>
    </w:rPr>
  </w:style>
  <w:style w:type="paragraph" w:styleId="Heading3">
    <w:name w:val="heading 3"/>
    <w:basedOn w:val="Normal"/>
    <w:next w:val="Normal"/>
    <w:link w:val="Heading3Char"/>
    <w:unhideWhenUsed/>
    <w:qFormat/>
    <w:rsid w:val="003E749D"/>
    <w:pPr>
      <w:keepNext/>
      <w:keepLines/>
      <w:spacing w:before="40"/>
      <w:outlineLvl w:val="2"/>
    </w:pPr>
    <w:rPr>
      <w:rFonts w:eastAsiaTheme="majorEastAsia" w:cstheme="majorBidi"/>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1E0"/>
    <w:pPr>
      <w:tabs>
        <w:tab w:val="center" w:pos="4153"/>
        <w:tab w:val="right" w:pos="8306"/>
      </w:tabs>
    </w:pPr>
  </w:style>
  <w:style w:type="paragraph" w:styleId="Footer">
    <w:name w:val="footer"/>
    <w:basedOn w:val="Normal"/>
    <w:link w:val="FooterChar"/>
    <w:uiPriority w:val="99"/>
    <w:rsid w:val="008A31E0"/>
    <w:pPr>
      <w:tabs>
        <w:tab w:val="center" w:pos="4153"/>
        <w:tab w:val="right" w:pos="8306"/>
      </w:tabs>
    </w:pPr>
  </w:style>
  <w:style w:type="character" w:styleId="Strong">
    <w:name w:val="Strong"/>
    <w:uiPriority w:val="22"/>
    <w:qFormat/>
    <w:rsid w:val="00D03EB5"/>
    <w:rPr>
      <w:rFonts w:ascii="Arial" w:hAnsi="Arial"/>
      <w:b/>
      <w:color w:val="002060"/>
      <w:sz w:val="72"/>
      <w:szCs w:val="72"/>
    </w:rPr>
  </w:style>
  <w:style w:type="character" w:customStyle="1" w:styleId="Heading1Char">
    <w:name w:val="Heading 1 Char"/>
    <w:basedOn w:val="DefaultParagraphFont"/>
    <w:link w:val="Heading1"/>
    <w:rsid w:val="003E749D"/>
    <w:rPr>
      <w:rFonts w:ascii="Verdana" w:hAnsi="Verdana"/>
      <w:sz w:val="48"/>
      <w:szCs w:val="48"/>
      <w:lang w:val="en-US" w:eastAsia="en-US"/>
    </w:rPr>
  </w:style>
  <w:style w:type="paragraph" w:styleId="Title">
    <w:name w:val="Title"/>
    <w:basedOn w:val="Normal"/>
    <w:next w:val="Normal"/>
    <w:link w:val="TitleChar"/>
    <w:qFormat/>
    <w:rsid w:val="005C6970"/>
    <w:pPr>
      <w:spacing w:before="2000" w:beforeAutospacing="0" w:line="240" w:lineRule="auto"/>
    </w:pPr>
    <w:rPr>
      <w:sz w:val="56"/>
      <w:szCs w:val="22"/>
    </w:rPr>
  </w:style>
  <w:style w:type="character" w:customStyle="1" w:styleId="TitleChar">
    <w:name w:val="Title Char"/>
    <w:basedOn w:val="DefaultParagraphFont"/>
    <w:link w:val="Title"/>
    <w:rsid w:val="005C6970"/>
    <w:rPr>
      <w:rFonts w:ascii="Verdana" w:hAnsi="Verdana"/>
      <w:sz w:val="56"/>
      <w:szCs w:val="22"/>
      <w:lang w:val="en-US" w:eastAsia="en-US"/>
    </w:rPr>
  </w:style>
  <w:style w:type="character" w:styleId="Emphasis">
    <w:name w:val="Emphasis"/>
    <w:basedOn w:val="DefaultParagraphFont"/>
    <w:rsid w:val="00316FD4"/>
    <w:rPr>
      <w:i/>
      <w:iCs/>
    </w:rPr>
  </w:style>
  <w:style w:type="character" w:customStyle="1" w:styleId="FooterChar">
    <w:name w:val="Footer Char"/>
    <w:basedOn w:val="DefaultParagraphFont"/>
    <w:link w:val="Footer"/>
    <w:uiPriority w:val="99"/>
    <w:rsid w:val="00FB1121"/>
    <w:rPr>
      <w:rFonts w:ascii="Arial" w:hAnsi="Arial"/>
      <w:sz w:val="22"/>
      <w:lang w:val="en-US" w:eastAsia="en-US"/>
    </w:rPr>
  </w:style>
  <w:style w:type="paragraph" w:styleId="Subtitle">
    <w:name w:val="Subtitle"/>
    <w:basedOn w:val="Normal"/>
    <w:next w:val="Normal"/>
    <w:link w:val="SubtitleChar"/>
    <w:qFormat/>
    <w:rsid w:val="00FB1121"/>
    <w:pPr>
      <w:numPr>
        <w:ilvl w:val="1"/>
      </w:numPr>
      <w:spacing w:after="160"/>
    </w:pPr>
    <w:rPr>
      <w:rFonts w:eastAsiaTheme="minorEastAsia" w:cstheme="minorBidi"/>
      <w:spacing w:val="15"/>
      <w:sz w:val="52"/>
      <w:szCs w:val="22"/>
    </w:rPr>
  </w:style>
  <w:style w:type="character" w:customStyle="1" w:styleId="SubtitleChar">
    <w:name w:val="Subtitle Char"/>
    <w:basedOn w:val="DefaultParagraphFont"/>
    <w:link w:val="Subtitle"/>
    <w:rsid w:val="00FB1121"/>
    <w:rPr>
      <w:rFonts w:ascii="Verdana" w:eastAsiaTheme="minorEastAsia" w:hAnsi="Verdana" w:cstheme="minorBidi"/>
      <w:spacing w:val="15"/>
      <w:sz w:val="52"/>
      <w:szCs w:val="22"/>
      <w:lang w:val="en-US" w:eastAsia="en-US"/>
    </w:rPr>
  </w:style>
  <w:style w:type="character" w:customStyle="1" w:styleId="Heading2Char">
    <w:name w:val="Heading 2 Char"/>
    <w:basedOn w:val="DefaultParagraphFont"/>
    <w:link w:val="Heading2"/>
    <w:rsid w:val="003E749D"/>
    <w:rPr>
      <w:rFonts w:ascii="Verdana" w:eastAsiaTheme="majorEastAsia" w:hAnsi="Verdana" w:cstheme="majorBidi"/>
      <w:sz w:val="36"/>
      <w:szCs w:val="26"/>
      <w:lang w:val="en-US" w:eastAsia="en-US"/>
    </w:rPr>
  </w:style>
  <w:style w:type="character" w:customStyle="1" w:styleId="Heading3Char">
    <w:name w:val="Heading 3 Char"/>
    <w:basedOn w:val="DefaultParagraphFont"/>
    <w:link w:val="Heading3"/>
    <w:rsid w:val="003E749D"/>
    <w:rPr>
      <w:rFonts w:ascii="Verdana" w:eastAsiaTheme="majorEastAsia" w:hAnsi="Verdana" w:cstheme="majorBidi"/>
      <w:sz w:val="32"/>
      <w:szCs w:val="24"/>
      <w:lang w:val="en-US" w:eastAsia="en-US"/>
    </w:rPr>
  </w:style>
  <w:style w:type="paragraph" w:styleId="ListParagraph">
    <w:name w:val="List Paragraph"/>
    <w:basedOn w:val="Normal"/>
    <w:uiPriority w:val="34"/>
    <w:qFormat/>
    <w:rsid w:val="008320B0"/>
    <w:pPr>
      <w:ind w:left="720"/>
      <w:contextualSpacing/>
    </w:pPr>
    <w:rPr>
      <w:rFonts w:ascii="Verdana" w:hAnsi="Verdana"/>
      <w:sz w:val="28"/>
      <w:szCs w:val="24"/>
      <w:lang w:val="en-GB" w:eastAsia="en-GB"/>
    </w:rPr>
  </w:style>
  <w:style w:type="paragraph" w:styleId="TOCHeading">
    <w:name w:val="TOC Heading"/>
    <w:basedOn w:val="Heading1"/>
    <w:next w:val="Normal"/>
    <w:uiPriority w:val="39"/>
    <w:unhideWhenUsed/>
    <w:qFormat/>
    <w:rsid w:val="008320B0"/>
    <w:pPr>
      <w:keepNext/>
      <w:keepLines/>
      <w:widowControl/>
      <w:autoSpaceDE/>
      <w:autoSpaceDN/>
      <w:adjustRightInd/>
      <w:spacing w:before="240" w:beforeAutospacing="0" w:after="0" w:afterAutospacing="0" w:line="259" w:lineRule="auto"/>
      <w:outlineLvl w:val="9"/>
    </w:pPr>
    <w:rPr>
      <w:rFonts w:asciiTheme="majorHAnsi" w:eastAsiaTheme="majorEastAsia" w:hAnsiTheme="majorHAnsi" w:cstheme="majorBidi"/>
      <w:color w:val="365F91" w:themeColor="accent1" w:themeShade="BF"/>
      <w:sz w:val="32"/>
      <w:szCs w:val="32"/>
      <w:lang w:val="en-GB" w:eastAsia="en-GB"/>
    </w:rPr>
  </w:style>
  <w:style w:type="paragraph" w:styleId="TOC1">
    <w:name w:val="toc 1"/>
    <w:basedOn w:val="Normal"/>
    <w:next w:val="Normal"/>
    <w:autoRedefine/>
    <w:uiPriority w:val="39"/>
    <w:unhideWhenUsed/>
    <w:rsid w:val="008320B0"/>
    <w:rPr>
      <w:szCs w:val="24"/>
      <w:lang w:val="en-GB" w:eastAsia="en-GB"/>
    </w:rPr>
  </w:style>
  <w:style w:type="paragraph" w:styleId="TOC2">
    <w:name w:val="toc 2"/>
    <w:basedOn w:val="Normal"/>
    <w:next w:val="Normal"/>
    <w:autoRedefine/>
    <w:uiPriority w:val="39"/>
    <w:unhideWhenUsed/>
    <w:rsid w:val="008320B0"/>
    <w:pPr>
      <w:ind w:left="280"/>
    </w:pPr>
    <w:rPr>
      <w:szCs w:val="24"/>
      <w:lang w:val="en-GB" w:eastAsia="en-GB"/>
    </w:rPr>
  </w:style>
  <w:style w:type="paragraph" w:styleId="TOC3">
    <w:name w:val="toc 3"/>
    <w:basedOn w:val="Normal"/>
    <w:next w:val="Normal"/>
    <w:autoRedefine/>
    <w:uiPriority w:val="39"/>
    <w:unhideWhenUsed/>
    <w:rsid w:val="008320B0"/>
    <w:pPr>
      <w:ind w:left="560"/>
    </w:pPr>
    <w:rPr>
      <w:szCs w:val="24"/>
      <w:lang w:val="en-GB" w:eastAsia="en-GB"/>
    </w:rPr>
  </w:style>
  <w:style w:type="character" w:styleId="Hyperlink">
    <w:name w:val="Hyperlink"/>
    <w:basedOn w:val="DefaultParagraphFont"/>
    <w:uiPriority w:val="99"/>
    <w:unhideWhenUsed/>
    <w:rsid w:val="008320B0"/>
    <w:rPr>
      <w:color w:val="0000FF" w:themeColor="hyperlink"/>
      <w:u w:val="single"/>
    </w:rPr>
  </w:style>
  <w:style w:type="paragraph" w:styleId="NormalWeb">
    <w:name w:val="Normal (Web)"/>
    <w:basedOn w:val="Normal"/>
    <w:uiPriority w:val="99"/>
    <w:semiHidden/>
    <w:unhideWhenUsed/>
    <w:rsid w:val="006519AF"/>
    <w:pPr>
      <w:widowControl/>
      <w:autoSpaceDE/>
      <w:autoSpaceDN/>
      <w:adjustRightInd/>
      <w:spacing w:line="240" w:lineRule="auto"/>
    </w:pPr>
    <w:rPr>
      <w:rFonts w:ascii="Times New Roman" w:hAnsi="Times New Roman"/>
      <w:szCs w:val="24"/>
      <w:lang w:val="en-GB" w:eastAsia="en-GB"/>
    </w:rPr>
  </w:style>
  <w:style w:type="character" w:styleId="UnresolvedMention">
    <w:name w:val="Unresolved Mention"/>
    <w:basedOn w:val="DefaultParagraphFont"/>
    <w:uiPriority w:val="99"/>
    <w:semiHidden/>
    <w:unhideWhenUsed/>
    <w:rsid w:val="00633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qualityandengagementteam@eastsussex.gov.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leanne.bentley@ea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mental-health-and-behaviour-in-schools--2" TargetMode="External"/><Relationship Id="rId5" Type="http://schemas.openxmlformats.org/officeDocument/2006/relationships/customXml" Target="../customXml/item5.xml"/><Relationship Id="rId15" Type="http://schemas.openxmlformats.org/officeDocument/2006/relationships/image" Target="media/image10.jpg"/><Relationship Id="rId23" Type="http://schemas.openxmlformats.org/officeDocument/2006/relationships/hyperlink" Target="http://oeapng.info/"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https://www.equalityhumanrights.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USER\Userdata\AndreaK\Downloads\Accessible%20document%20template%20cyan%20branding%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34</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Document_x0020_Date xmlns="0edbdf58-cbf2-428a-80ab-aedffcd2a497">2021-12-24T00:00:00+00:00</Document_x0020_Date>
    <Document_x0020_Owner xmlns="0edbdf58-cbf2-428a-80ab-aedffcd2a497">
      <UserInfo>
        <DisplayName>Will Chaplin</DisplayName>
        <AccountId>354</AccountId>
        <AccountType/>
      </UserInfo>
    </Document_x0020_Owner>
    <_dlc_DocId xmlns="e9cf4185-0943-42ff-925c-4c3ee5573609">CSCOMPLAP-1240812479-1774</_dlc_DocId>
    <_dlc_DocIdUrl xmlns="e9cf4185-0943-42ff-925c-4c3ee5573609">
      <Url>https://services.escc.gov.uk/sites/CSCOMPLAP/_layouts/15/DocIdRedir.aspx?ID=CSCOMPLAP-1240812479-1774</Url>
      <Description>CSCOMPLAP-1240812479-1774</Description>
    </_dlc_DocIdUrl>
    <SourceLibrary xmlns="e9cf4185-0943-42ff-925c-4c3ee5573609">Admin Finance &amp; PA Support</SourceLibrary>
    <SourceUrl xmlns="e9cf4185-0943-42ff-925c-4c3ee5573609">
      <Url>https://services.escc.gov.uk/sites/COMMUNICATIONS/Admin%20Finance%20%20PA%20Support</Url>
      <Description>https://services.escc.gov.uk/sites/COMMUNICATIONS/Admin Finance  PA Support</Description>
    </SourceUrl>
    <Outdoor_x0020_Workstream xmlns="e9cf4185-0943-42ff-925c-4c3ee5573609" xsi:nil="true"/>
    <Outdoor_x0020_Document_x0020_Area xmlns="e9cf4185-0943-42ff-925c-4c3ee5573609" xsi:nil="true"/>
    <Outdoor_x0020_Document_x0020_Type xmlns="e9cf4185-0943-42ff-925c-4c3ee5573609" xsi:nil="true"/>
    <Course_x0020_Date xmlns="e9cf4185-0943-42ff-925c-4c3ee5573609" xsi:nil="true"/>
    <Outdoor_x0020_Training_x0020_Type xmlns="e9cf4185-0943-42ff-925c-4c3ee5573609" xsi:nil="true"/>
    <Outdoor_x0020_Establishment xmlns="e9cf4185-0943-42ff-925c-4c3ee5573609" xsi:nil="true"/>
  </documentManagement>
</p:properties>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33CF6930DC567943B50082D1EE87B386" ma:contentTypeVersion="38" ma:contentTypeDescription="General documents used in the administration of a service" ma:contentTypeScope="" ma:versionID="701251ca64a33430ee7f801071b42f05">
  <xsd:schema xmlns:xsd="http://www.w3.org/2001/XMLSchema" xmlns:xs="http://www.w3.org/2001/XMLSchema" xmlns:p="http://schemas.microsoft.com/office/2006/metadata/properties" xmlns:ns2="0edbdf58-cbf2-428a-80ab-aedffcd2a497" xmlns:ns3="e9cf4185-0943-42ff-925c-4c3ee5573609" targetNamespace="http://schemas.microsoft.com/office/2006/metadata/properties" ma:root="true" ma:fieldsID="e56b3f483b4a232031759cd926d624ee" ns2:_="" ns3:_="">
    <xsd:import namespace="0edbdf58-cbf2-428a-80ab-aedffcd2a497"/>
    <xsd:import namespace="e9cf4185-0943-42ff-925c-4c3ee5573609"/>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Outdoor_x0020_Workstream" minOccurs="0"/>
                <xsd:element ref="ns3:Outdoor_x0020_Document_x0020_Area" minOccurs="0"/>
                <xsd:element ref="ns3:Outdoor_x0020_Document_x0020_Type" minOccurs="0"/>
                <xsd:element ref="ns3:Outdoor_x0020_Establishment" minOccurs="0"/>
                <xsd:element ref="ns3:Outdoor_x0020_Training_x0020_Type" minOccurs="0"/>
                <xsd:element ref="ns3:Course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b28b239d-af1e-456b-b72f-13b9777f625f}" ma:internalName="TaxCatchAll" ma:showField="CatchAllData" ma:web="e9cf4185-0943-42ff-925c-4c3ee557360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b239d-af1e-456b-b72f-13b9777f625f}" ma:internalName="TaxCatchAllLabel" ma:readOnly="true" ma:showField="CatchAllDataLabel" ma:web="e9cf4185-0943-42ff-925c-4c3ee55736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cf4185-0943-42ff-925c-4c3ee557360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Outdoor_x0020_Workstream" ma:index="18" nillable="true" ma:displayName="Outdoor Workstream" ma:list="{1e6ce30c-240c-4142-9ed4-cae0fcbc34b7}" ma:internalName="Outdoor_x0020_Workstream" ma:showField="Title" ma:web="e9cf4185-0943-42ff-925c-4c3ee5573609">
      <xsd:simpleType>
        <xsd:restriction base="dms:Lookup"/>
      </xsd:simpleType>
    </xsd:element>
    <xsd:element name="Outdoor_x0020_Document_x0020_Area" ma:index="19" nillable="true" ma:displayName="Outdoor Document Area" ma:list="{ab38bd6f-5ecc-42f8-91fd-de41d3810e4c}" ma:internalName="Outdoor_x0020_Document_x0020_Area" ma:showField="Title" ma:web="e9cf4185-0943-42ff-925c-4c3ee5573609">
      <xsd:simpleType>
        <xsd:restriction base="dms:Lookup"/>
      </xsd:simpleType>
    </xsd:element>
    <xsd:element name="Outdoor_x0020_Document_x0020_Type" ma:index="20" nillable="true" ma:displayName="Outdoor Document Type" ma:list="{e64c3525-6169-482d-8ff8-83050166f18d}" ma:internalName="Outdoor_x0020_Document_x0020_Type" ma:showField="Title" ma:web="e9cf4185-0943-42ff-925c-4c3ee5573609">
      <xsd:simpleType>
        <xsd:restriction base="dms:Lookup"/>
      </xsd:simpleType>
    </xsd:element>
    <xsd:element name="Outdoor_x0020_Establishment" ma:index="21" nillable="true" ma:displayName="Outdoor Establishment" ma:list="{3c6578a3-8c1e-4dae-bf91-8618008ff450}" ma:internalName="Outdoor_x0020_Establishment" ma:showField="Title" ma:web="e9cf4185-0943-42ff-925c-4c3ee5573609">
      <xsd:simpleType>
        <xsd:restriction base="dms:Lookup"/>
      </xsd:simpleType>
    </xsd:element>
    <xsd:element name="Outdoor_x0020_Training_x0020_Type" ma:index="22" nillable="true" ma:displayName="Outdoor Training Type" ma:list="{b82b4691-3bf4-4a35-8845-22218a21c685}" ma:internalName="Outdoor_x0020_Training_x0020_Type" ma:showField="Title" ma:web="e9cf4185-0943-42ff-925c-4c3ee5573609">
      <xsd:simpleType>
        <xsd:restriction base="dms:Lookup"/>
      </xsd:simpleType>
    </xsd:element>
    <xsd:element name="Course_x0020_Date" ma:index="23" nillable="true" ma:displayName="Course Date" ma:format="DateOnly" ma:internalName="Course_x0020_Date">
      <xsd:simpleType>
        <xsd:restriction base="dms:DateTime"/>
      </xsd:simpleType>
    </xsd:element>
    <xsd:element name="SourceLibrary" ma:index="24" nillable="true" ma:displayName="SourceLibrary" ma:internalName="SourceLibrary">
      <xsd:simpleType>
        <xsd:restriction base="dms:Text"/>
      </xsd:simpleType>
    </xsd:element>
    <xsd:element name="SourceUrl" ma:index="25"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E2115-3F12-4043-9875-A0C1A2CE4B4B}">
  <ds:schemaRefs>
    <ds:schemaRef ds:uri="http://schemas.microsoft.com/sharepoint/events"/>
  </ds:schemaRefs>
</ds:datastoreItem>
</file>

<file path=customXml/itemProps2.xml><?xml version="1.0" encoding="utf-8"?>
<ds:datastoreItem xmlns:ds="http://schemas.openxmlformats.org/officeDocument/2006/customXml" ds:itemID="{0F4B48FC-84DC-4565-9436-3B3CEA94F70F}">
  <ds:schemaRefs>
    <ds:schemaRef ds:uri="Microsoft.SharePoint.Taxonomy.ContentTypeSync"/>
  </ds:schemaRefs>
</ds:datastoreItem>
</file>

<file path=customXml/itemProps3.xml><?xml version="1.0" encoding="utf-8"?>
<ds:datastoreItem xmlns:ds="http://schemas.openxmlformats.org/officeDocument/2006/customXml" ds:itemID="{0A8B689A-2A22-4E79-A2FA-43511896F38C}">
  <ds:schemaRefs>
    <ds:schemaRef ds:uri="http://schemas.microsoft.com/office/2006/metadata/longProperties"/>
  </ds:schemaRefs>
</ds:datastoreItem>
</file>

<file path=customXml/itemProps4.xml><?xml version="1.0" encoding="utf-8"?>
<ds:datastoreItem xmlns:ds="http://schemas.openxmlformats.org/officeDocument/2006/customXml" ds:itemID="{8882C73B-C781-4AA6-BE41-3C923F84D8E1}">
  <ds:schemaRefs>
    <ds:schemaRef ds:uri="http://purl.org/dc/terms/"/>
    <ds:schemaRef ds:uri="http://www.w3.org/XML/1998/namespace"/>
    <ds:schemaRef ds:uri="http://schemas.microsoft.com/office/infopath/2007/PartnerControls"/>
    <ds:schemaRef ds:uri="0edbdf58-cbf2-428a-80ab-aedffcd2a497"/>
    <ds:schemaRef ds:uri="http://schemas.microsoft.com/office/2006/documentManagement/types"/>
    <ds:schemaRef ds:uri="http://purl.org/dc/elements/1.1/"/>
    <ds:schemaRef ds:uri="http://purl.org/dc/dcmitype/"/>
    <ds:schemaRef ds:uri="http://schemas.openxmlformats.org/package/2006/metadata/core-properties"/>
    <ds:schemaRef ds:uri="e9cf4185-0943-42ff-925c-4c3ee5573609"/>
    <ds:schemaRef ds:uri="http://schemas.microsoft.com/office/2006/metadata/properties"/>
  </ds:schemaRefs>
</ds:datastoreItem>
</file>

<file path=customXml/itemProps5.xml><?xml version="1.0" encoding="utf-8"?>
<ds:datastoreItem xmlns:ds="http://schemas.openxmlformats.org/officeDocument/2006/customXml" ds:itemID="{7FB49F93-F026-4613-B887-31B050080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9cf4185-0943-42ff-925c-4c3ee5573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35BE8C-0E5A-472B-90D5-F1C2BB237C06}">
  <ds:schemaRefs>
    <ds:schemaRef ds:uri="http://schemas.openxmlformats.org/officeDocument/2006/bibliography"/>
  </ds:schemaRefs>
</ds:datastoreItem>
</file>

<file path=customXml/itemProps7.xml><?xml version="1.0" encoding="utf-8"?>
<ds:datastoreItem xmlns:ds="http://schemas.openxmlformats.org/officeDocument/2006/customXml" ds:itemID="{90EA682B-0799-4732-851E-18A05C6CA3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Accessible document template cyan branding (1)</Template>
  <TotalTime>112</TotalTime>
  <Pages>9</Pages>
  <Words>980</Words>
  <Characters>5984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Accessible template for reports and policies in Word (cyan branding)</vt:lpstr>
    </vt:vector>
  </TitlesOfParts>
  <Company>East Sussex County Council</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template for reports and policies in Word (cyan branding)</dc:title>
  <dc:subject>Use for accessible Word documents. Logo and wave marked decorative. Styles used for Title, Subtitle, Headings, normal content. Trebuchet font.</dc:subject>
  <dc:creator>Andrea Keer</dc:creator>
  <cp:keywords>Branding; Corporate image</cp:keywords>
  <cp:lastModifiedBy>Andrea Keer</cp:lastModifiedBy>
  <cp:revision>34</cp:revision>
  <cp:lastPrinted>2021-09-16T10:14:00Z</cp:lastPrinted>
  <dcterms:created xsi:type="dcterms:W3CDTF">2023-08-11T08:58:00Z</dcterms:created>
  <dcterms:modified xsi:type="dcterms:W3CDTF">2023-08-23T11:08:00Z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13000</vt:r8>
  </property>
  <property fmtid="{D5CDD505-2E9C-101B-9397-08002B2CF9AE}" pid="3" name="ContentType">
    <vt:lpwstr>ESCC document</vt:lpwstr>
  </property>
  <property fmtid="{D5CDD505-2E9C-101B-9397-08002B2CF9AE}" pid="4" name="ContentTypeId">
    <vt:lpwstr>0x010100D0E410EB176E0C49978577D0663BF567010033CF6930DC567943B50082D1EE87B386</vt:lpwstr>
  </property>
  <property fmtid="{D5CDD505-2E9C-101B-9397-08002B2CF9AE}" pid="5" name="_dlc_policyId">
    <vt:lpwstr/>
  </property>
  <property fmtid="{D5CDD505-2E9C-101B-9397-08002B2CF9AE}" pid="6" name="ItemRetentionFormula">
    <vt:lpwstr/>
  </property>
  <property fmtid="{D5CDD505-2E9C-101B-9397-08002B2CF9AE}" pid="7" name="Administration Document Type">
    <vt:lpwstr>34;#Template|5c37809f-c58d-402b-9020-0870bbb39fbd</vt:lpwstr>
  </property>
  <property fmtid="{D5CDD505-2E9C-101B-9397-08002B2CF9AE}" pid="8" name="Management Document Type">
    <vt:lpwstr/>
  </property>
  <property fmtid="{D5CDD505-2E9C-101B-9397-08002B2CF9AE}" pid="9" name="Provider and Supplier Document Type">
    <vt:lpwstr/>
  </property>
  <property fmtid="{D5CDD505-2E9C-101B-9397-08002B2CF9AE}" pid="10" name="xd_ProgID">
    <vt:lpwstr/>
  </property>
  <property fmtid="{D5CDD505-2E9C-101B-9397-08002B2CF9AE}" pid="11" name="c7341cb175b64701a2f371516e3c5ffa">
    <vt:lpwstr/>
  </property>
  <property fmtid="{D5CDD505-2E9C-101B-9397-08002B2CF9AE}" pid="12" name="Training">
    <vt:lpwstr/>
  </property>
  <property fmtid="{D5CDD505-2E9C-101B-9397-08002B2CF9AE}" pid="13" name="p23cfbf5ca724db9bbf8f89111f5d616">
    <vt:lpwstr/>
  </property>
  <property fmtid="{D5CDD505-2E9C-101B-9397-08002B2CF9AE}" pid="14" name="Record Management Document Type">
    <vt:lpwstr/>
  </property>
  <property fmtid="{D5CDD505-2E9C-101B-9397-08002B2CF9AE}" pid="15" name="h6c1439bd84b41d49c0c35014e3e01fb">
    <vt:lpwstr/>
  </property>
  <property fmtid="{D5CDD505-2E9C-101B-9397-08002B2CF9AE}" pid="16" name="Coroner Document Type">
    <vt:lpwstr/>
  </property>
  <property fmtid="{D5CDD505-2E9C-101B-9397-08002B2CF9AE}" pid="17" name="Staff Document Type">
    <vt:lpwstr/>
  </property>
  <property fmtid="{D5CDD505-2E9C-101B-9397-08002B2CF9AE}" pid="18" name="TemplateUrl">
    <vt:lpwstr/>
  </property>
  <property fmtid="{D5CDD505-2E9C-101B-9397-08002B2CF9AE}" pid="19" name="l2a2c13191bf4335b2c36228ef62c53e">
    <vt:lpwstr/>
  </property>
  <property fmtid="{D5CDD505-2E9C-101B-9397-08002B2CF9AE}" pid="20" name="Emergency Response Document Type">
    <vt:lpwstr/>
  </property>
  <property fmtid="{D5CDD505-2E9C-101B-9397-08002B2CF9AE}" pid="21" name="Insurance Document Type">
    <vt:lpwstr/>
  </property>
  <property fmtid="{D5CDD505-2E9C-101B-9397-08002B2CF9AE}" pid="22" name="Financial Document Type">
    <vt:lpwstr/>
  </property>
  <property fmtid="{D5CDD505-2E9C-101B-9397-08002B2CF9AE}" pid="23" name="Contract and Tender Document Type">
    <vt:lpwstr/>
  </property>
  <property fmtid="{D5CDD505-2E9C-101B-9397-08002B2CF9AE}" pid="24" name="Case Management Document Type">
    <vt:lpwstr/>
  </property>
  <property fmtid="{D5CDD505-2E9C-101B-9397-08002B2CF9AE}" pid="25" name="Asset Document Type">
    <vt:lpwstr/>
  </property>
  <property fmtid="{D5CDD505-2E9C-101B-9397-08002B2CF9AE}" pid="26" name="nc701821e2ae4ca7b090c56a0d021958">
    <vt:lpwstr/>
  </property>
  <property fmtid="{D5CDD505-2E9C-101B-9397-08002B2CF9AE}" pid="27" name="o00f61d71070476098c4709b5aeb3bd2">
    <vt:lpwstr/>
  </property>
  <property fmtid="{D5CDD505-2E9C-101B-9397-08002B2CF9AE}" pid="28" name="f7cb129e329c4afea658e45faf698a77">
    <vt:lpwstr/>
  </property>
  <property fmtid="{D5CDD505-2E9C-101B-9397-08002B2CF9AE}" pid="29" name="i441fec8d7de48e784c5a446ba9d3b0e">
    <vt:lpwstr/>
  </property>
  <property fmtid="{D5CDD505-2E9C-101B-9397-08002B2CF9AE}" pid="30" name="External Information Document Type">
    <vt:lpwstr/>
  </property>
  <property fmtid="{D5CDD505-2E9C-101B-9397-08002B2CF9AE}" pid="31" name="o911df34fb6e415aad03745923c490cb">
    <vt:lpwstr/>
  </property>
  <property fmtid="{D5CDD505-2E9C-101B-9397-08002B2CF9AE}" pid="32" name="i1c0bb1d0bf247fbad3ccce67a2b1a3c">
    <vt:lpwstr/>
  </property>
  <property fmtid="{D5CDD505-2E9C-101B-9397-08002B2CF9AE}" pid="33" name="nc39939b412e4b258e3d91afae22f476">
    <vt:lpwstr/>
  </property>
  <property fmtid="{D5CDD505-2E9C-101B-9397-08002B2CF9AE}" pid="34" name="_CopySource">
    <vt:lpwstr>https://services.escc.gov.uk/sites/COMMUNICATIONS/Admin Finance  PA Support/Accessible document template cyan branding.dotx</vt:lpwstr>
  </property>
  <property fmtid="{D5CDD505-2E9C-101B-9397-08002B2CF9AE}" pid="35" name="Technical Document Type">
    <vt:lpwstr/>
  </property>
  <property fmtid="{D5CDD505-2E9C-101B-9397-08002B2CF9AE}" pid="36" name="bb6bdcaf81dc494fac08f49b5d971cbc">
    <vt:lpwstr/>
  </property>
  <property fmtid="{D5CDD505-2E9C-101B-9397-08002B2CF9AE}" pid="37" name="nc0f1aa2c1d9443a8a05db9738a0b1b3">
    <vt:lpwstr/>
  </property>
  <property fmtid="{D5CDD505-2E9C-101B-9397-08002B2CF9AE}" pid="38" name="Legal Document Type">
    <vt:lpwstr/>
  </property>
  <property fmtid="{D5CDD505-2E9C-101B-9397-08002B2CF9AE}" pid="39" name="Business Performance Document Type">
    <vt:lpwstr/>
  </property>
  <property fmtid="{D5CDD505-2E9C-101B-9397-08002B2CF9AE}" pid="40" name="bc09e3fac64b486c98a7da5b7bede6b9">
    <vt:lpwstr/>
  </property>
  <property fmtid="{D5CDD505-2E9C-101B-9397-08002B2CF9AE}" pid="41" name="d6542f9ca59a4e279c2d7a44dcfcd44a">
    <vt:lpwstr/>
  </property>
  <property fmtid="{D5CDD505-2E9C-101B-9397-08002B2CF9AE}" pid="42" name="Project Management Document Type">
    <vt:lpwstr/>
  </property>
  <property fmtid="{D5CDD505-2E9C-101B-9397-08002B2CF9AE}" pid="43" name="fe7a9f2e7ebb4b8a90f92e89b33d88fe">
    <vt:lpwstr/>
  </property>
  <property fmtid="{D5CDD505-2E9C-101B-9397-08002B2CF9AE}" pid="44" name="jfe86b159c6947ce9e6ff1f84d3f3bd0">
    <vt:lpwstr/>
  </property>
  <property fmtid="{D5CDD505-2E9C-101B-9397-08002B2CF9AE}" pid="45" name="fd5d1f5830294011a09e6c004c5b4475">
    <vt:lpwstr/>
  </property>
  <property fmtid="{D5CDD505-2E9C-101B-9397-08002B2CF9AE}" pid="46" name="Planning Document Type">
    <vt:lpwstr/>
  </property>
  <property fmtid="{D5CDD505-2E9C-101B-9397-08002B2CF9AE}" pid="47" name="f47e7ecff5cf4fec9804331cf9cc7d2d">
    <vt:lpwstr/>
  </property>
  <property fmtid="{D5CDD505-2E9C-101B-9397-08002B2CF9AE}" pid="48" name="Service Management Document Type">
    <vt:lpwstr/>
  </property>
  <property fmtid="{D5CDD505-2E9C-101B-9397-08002B2CF9AE}" pid="49" name="j5b1618db7f54834b043ba6986764825">
    <vt:lpwstr/>
  </property>
  <property fmtid="{D5CDD505-2E9C-101B-9397-08002B2CF9AE}" pid="50" name="Health and Safety">
    <vt:lpwstr/>
  </property>
  <property fmtid="{D5CDD505-2E9C-101B-9397-08002B2CF9AE}" pid="51" name="_dlc_DocIdItemGuid">
    <vt:lpwstr>76bf1d14-504c-48cb-8ae7-e479fc3aefe9</vt:lpwstr>
  </property>
</Properties>
</file>